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8681961" w:displacedByCustomXml="next"/>
    <w:bookmarkStart w:id="1" w:name="_Toc108598416" w:displacedByCustomXml="next"/>
    <w:bookmarkStart w:id="2" w:name="_Toc107332552" w:displacedByCustomXml="next"/>
    <w:bookmarkStart w:id="3" w:name="_Toc19289801" w:displacedByCustomXml="next"/>
    <w:sdt>
      <w:sdtPr>
        <w:rPr>
          <w:rFonts w:eastAsiaTheme="minorHAnsi"/>
          <w:color w:val="auto"/>
          <w:sz w:val="22"/>
          <w:szCs w:val="22"/>
        </w:rPr>
        <w:id w:val="-1364132501"/>
        <w:docPartObj>
          <w:docPartGallery w:val="Cover Pages"/>
          <w:docPartUnique/>
        </w:docPartObj>
      </w:sdtPr>
      <w:sdtEndPr/>
      <w:sdtContent>
        <w:p w14:paraId="53E3F62E" w14:textId="77777777" w:rsidR="001A6DD6" w:rsidRDefault="001A6DD6" w:rsidP="00D7571B">
          <w:pPr>
            <w:pStyle w:val="Authoranddate"/>
          </w:pPr>
        </w:p>
        <w:p w14:paraId="6B682923" w14:textId="77777777" w:rsidR="001A6DD6" w:rsidRDefault="001A6DD6" w:rsidP="00D7571B">
          <w:pPr>
            <w:pStyle w:val="Authoranddate"/>
          </w:pPr>
        </w:p>
        <w:p w14:paraId="13D5542A" w14:textId="45F9105D" w:rsidR="001A6DD6" w:rsidRPr="00A57A23" w:rsidRDefault="00EA6B1B" w:rsidP="00E73D0C">
          <w:pPr>
            <w:pStyle w:val="Title"/>
            <w:tabs>
              <w:tab w:val="left" w:pos="7580"/>
            </w:tabs>
            <w:outlineLvl w:val="9"/>
          </w:pPr>
          <w:r>
            <w:tab/>
          </w:r>
          <w:r w:rsidR="0006055E">
            <w:br/>
            <w:t xml:space="preserve">Regulation of </w:t>
          </w:r>
          <w:r w:rsidR="0046139C">
            <w:t>Waste Export</w:t>
          </w:r>
          <w:r w:rsidR="0006055E">
            <w:t>s:</w:t>
          </w:r>
          <w:r w:rsidR="0046139C">
            <w:t xml:space="preserve"> Cost Recovery</w:t>
          </w:r>
        </w:p>
        <w:p w14:paraId="491F24E2" w14:textId="77777777" w:rsidR="00D12AA0" w:rsidRDefault="00D12AA0" w:rsidP="00D7571B">
          <w:pPr>
            <w:pStyle w:val="Subtitle"/>
          </w:pPr>
        </w:p>
        <w:p w14:paraId="7A0A82BB" w14:textId="241333E4" w:rsidR="001A6DD6" w:rsidRPr="00697567" w:rsidRDefault="001A6DD6" w:rsidP="00D7571B">
          <w:pPr>
            <w:pStyle w:val="Subtitle"/>
          </w:pPr>
          <w:r>
            <w:t xml:space="preserve">Consultation Paper – </w:t>
          </w:r>
          <w:r w:rsidR="00F002CA">
            <w:t>November</w:t>
          </w:r>
          <w:r w:rsidR="00BB178E">
            <w:t xml:space="preserve"> </w:t>
          </w:r>
          <w:r>
            <w:t xml:space="preserve">2022 </w:t>
          </w:r>
        </w:p>
        <w:p w14:paraId="004637F9" w14:textId="77777777" w:rsidR="001A6DD6" w:rsidRDefault="001A6DD6" w:rsidP="00D7571B">
          <w:pPr>
            <w:pStyle w:val="Subtitle"/>
          </w:pPr>
        </w:p>
        <w:p w14:paraId="2F8F905A" w14:textId="77777777" w:rsidR="001A6DD6" w:rsidRDefault="001A6DD6" w:rsidP="00D65CF9">
          <w:r>
            <w:br w:type="page"/>
          </w:r>
        </w:p>
        <w:p w14:paraId="1ED28639" w14:textId="77777777" w:rsidR="001A6DD6" w:rsidRPr="00BF7506" w:rsidRDefault="001A6DD6" w:rsidP="00D65CF9">
          <w:pPr>
            <w:rPr>
              <w:rFonts w:cstheme="majorHAnsi"/>
              <w:szCs w:val="40"/>
            </w:rPr>
          </w:pPr>
          <w:r w:rsidRPr="00D65CF9">
            <w:rPr>
              <w:rFonts w:asciiTheme="majorHAnsi" w:hAnsiTheme="majorHAnsi" w:cstheme="majorHAnsi"/>
              <w:color w:val="BB4E06"/>
              <w:sz w:val="40"/>
              <w:szCs w:val="40"/>
            </w:rPr>
            <w:lastRenderedPageBreak/>
            <w:t>Copyright</w:t>
          </w:r>
        </w:p>
        <w:p w14:paraId="0D740177" w14:textId="77777777" w:rsidR="001A6DD6" w:rsidRPr="00D65CF9" w:rsidRDefault="001A6DD6" w:rsidP="00D65CF9">
          <w:pPr>
            <w:rPr>
              <w:rStyle w:val="Strong"/>
            </w:rPr>
          </w:pPr>
          <w:r w:rsidRPr="00D65CF9">
            <w:rPr>
              <w:rStyle w:val="Strong"/>
            </w:rPr>
            <w:t>© Commonwealth of Australia 2022</w:t>
          </w:r>
        </w:p>
        <w:p w14:paraId="3668F405" w14:textId="77777777" w:rsidR="001A6DD6" w:rsidRPr="00DB39EC" w:rsidRDefault="001A6DD6" w:rsidP="00D65CF9">
          <w:pPr>
            <w:rPr>
              <w:rStyle w:val="Strong"/>
            </w:rPr>
          </w:pPr>
          <w:r w:rsidRPr="00DB39EC">
            <w:rPr>
              <w:rStyle w:val="Strong"/>
            </w:rPr>
            <w:t>Ownership of intellectual property rights</w:t>
          </w:r>
        </w:p>
        <w:p w14:paraId="315B8A1B" w14:textId="77777777" w:rsidR="001A6DD6" w:rsidRPr="00EF4D9F" w:rsidRDefault="001A6DD6" w:rsidP="00D65CF9">
          <w:r w:rsidRPr="00EF4D9F">
            <w:t>Unless otherwise noted, copyright (and any other intellectual property rights, if any) in this publication is owned by the Commonwealth of Australia.</w:t>
          </w:r>
        </w:p>
        <w:p w14:paraId="3B8459F2" w14:textId="77777777" w:rsidR="001A6DD6" w:rsidRPr="00D65CF9" w:rsidRDefault="001A6DD6" w:rsidP="00D65CF9">
          <w:pPr>
            <w:rPr>
              <w:rStyle w:val="Strong"/>
            </w:rPr>
          </w:pPr>
          <w:r w:rsidRPr="00D65CF9">
            <w:rPr>
              <w:rStyle w:val="Strong"/>
            </w:rPr>
            <w:t>Creative Commons licence</w:t>
          </w:r>
        </w:p>
        <w:p w14:paraId="5F7B74B3" w14:textId="77777777" w:rsidR="001A6DD6" w:rsidRPr="00EF4D9F" w:rsidRDefault="001A6DD6" w:rsidP="00D65CF9">
          <w:pPr>
            <w:rPr>
              <w:rStyle w:val="Strong"/>
              <w:sz w:val="20"/>
            </w:rPr>
          </w:pPr>
          <w:r w:rsidRPr="00EF4D9F">
            <w:rPr>
              <w:noProof/>
              <w:lang w:eastAsia="en-AU"/>
            </w:rPr>
            <w:drawing>
              <wp:inline distT="0" distB="0" distL="0" distR="0" wp14:anchorId="65D48A79" wp14:editId="25D12D9C">
                <wp:extent cx="1128889" cy="440267"/>
                <wp:effectExtent l="0" t="0" r="0" b="0"/>
                <wp:docPr id="2" name="Picture 2"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E38E46D" w14:textId="77777777" w:rsidR="001A6DD6" w:rsidRPr="00D65CF9" w:rsidRDefault="001A6DD6" w:rsidP="00D65CF9">
          <w:pPr>
            <w:rPr>
              <w:rStyle w:val="Strong"/>
            </w:rPr>
          </w:pPr>
          <w:r w:rsidRPr="00D65CF9">
            <w:rPr>
              <w:rStyle w:val="Strong"/>
            </w:rPr>
            <w:t xml:space="preserve">Attribution </w:t>
          </w:r>
        </w:p>
        <w:p w14:paraId="079FE492" w14:textId="77777777" w:rsidR="001A6DD6" w:rsidRPr="00D65CF9" w:rsidRDefault="001A6DD6" w:rsidP="00D65CF9">
          <w:pPr>
            <w:rPr>
              <w:rStyle w:val="Strong"/>
            </w:rPr>
          </w:pPr>
          <w:r w:rsidRPr="00D65CF9">
            <w:rPr>
              <w:rStyle w:val="Strong"/>
            </w:rPr>
            <w:t>CC BY</w:t>
          </w:r>
        </w:p>
        <w:p w14:paraId="3C3E84DC" w14:textId="77777777" w:rsidR="001A6DD6" w:rsidRDefault="001A6DD6" w:rsidP="00D65CF9">
          <w:r w:rsidRPr="00EF4D9F">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367E911C" w14:textId="77777777" w:rsidR="001A6DD6" w:rsidRPr="00EF4D9F" w:rsidRDefault="001A6DD6" w:rsidP="00D65CF9">
          <w:r w:rsidRPr="00EF4D9F">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2" w:history="1">
            <w:r w:rsidRPr="00EF4D9F">
              <w:rPr>
                <w:rStyle w:val="Hyperlink"/>
                <w:sz w:val="20"/>
                <w:szCs w:val="20"/>
              </w:rPr>
              <w:t>https://creativecommons.org/licenses/by/4.0/</w:t>
            </w:r>
          </w:hyperlink>
        </w:p>
        <w:p w14:paraId="61091E8C" w14:textId="77777777" w:rsidR="001A6DD6" w:rsidRPr="00EF4D9F" w:rsidRDefault="001A6DD6" w:rsidP="00D65CF9">
          <w:r w:rsidRPr="00EF4D9F">
            <w:t xml:space="preserve">The full licence terms are available from </w:t>
          </w:r>
          <w:hyperlink r:id="rId13" w:history="1">
            <w:r w:rsidRPr="00EF4D9F">
              <w:rPr>
                <w:rStyle w:val="Hyperlink"/>
                <w:sz w:val="20"/>
                <w:szCs w:val="20"/>
              </w:rPr>
              <w:t>https://creativecommons.org/licenses/by/4.0/legalcode</w:t>
            </w:r>
          </w:hyperlink>
        </w:p>
        <w:p w14:paraId="35E5B947" w14:textId="77777777" w:rsidR="001A6DD6" w:rsidRDefault="001A6DD6" w:rsidP="00D65CF9">
          <w:r w:rsidRPr="00EF4D9F">
            <w:t>Content contained herein should be attributed as Report title, Australian Government Department of Climate Change, Energy, the Environment and Water.</w:t>
          </w:r>
        </w:p>
        <w:p w14:paraId="7138497F" w14:textId="77777777" w:rsidR="001A6DD6" w:rsidRPr="00D65CF9" w:rsidRDefault="001A6DD6" w:rsidP="00D65CF9">
          <w:pPr>
            <w:rPr>
              <w:rFonts w:cstheme="majorHAnsi"/>
              <w:color w:val="BB4E06"/>
              <w:szCs w:val="40"/>
            </w:rPr>
          </w:pPr>
          <w:r w:rsidRPr="00D65CF9">
            <w:rPr>
              <w:rFonts w:asciiTheme="majorHAnsi" w:hAnsiTheme="majorHAnsi" w:cstheme="majorHAnsi"/>
              <w:color w:val="BB4E06"/>
              <w:sz w:val="40"/>
              <w:szCs w:val="40"/>
            </w:rPr>
            <w:t>Disclaimer</w:t>
          </w:r>
        </w:p>
        <w:p w14:paraId="176870CB" w14:textId="77777777" w:rsidR="001A6DD6" w:rsidRPr="00EF4D9F" w:rsidRDefault="001A6DD6" w:rsidP="00D65CF9">
          <w:r w:rsidRPr="00EF4D9F">
            <w:t>The Australian Government as represented by the Department of Climate Change, Energy, the Environment and Water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502314D8" w14:textId="77777777" w:rsidR="000B71D0" w:rsidRDefault="000B71D0" w:rsidP="00D7571B">
          <w:pPr>
            <w:sectPr w:rsidR="000B71D0" w:rsidSect="0068286F">
              <w:footerReference w:type="default" r:id="rId14"/>
              <w:footerReference w:type="first" r:id="rId15"/>
              <w:pgSz w:w="11906" w:h="16838"/>
              <w:pgMar w:top="1276" w:right="1440" w:bottom="1440" w:left="1440" w:header="851" w:footer="708" w:gutter="0"/>
              <w:pgNumType w:start="0"/>
              <w:cols w:space="708"/>
              <w:titlePg/>
              <w:docGrid w:linePitch="360"/>
            </w:sectPr>
          </w:pPr>
        </w:p>
        <w:sdt>
          <w:sdtPr>
            <w:rPr>
              <w:rFonts w:asciiTheme="minorHAnsi" w:eastAsiaTheme="minorHAnsi" w:hAnsiTheme="minorHAnsi" w:cstheme="minorBidi"/>
              <w:color w:val="auto"/>
              <w:sz w:val="22"/>
              <w:szCs w:val="22"/>
              <w:lang w:val="en-AU"/>
            </w:rPr>
            <w:id w:val="1715075507"/>
            <w:docPartObj>
              <w:docPartGallery w:val="Table of Contents"/>
              <w:docPartUnique/>
            </w:docPartObj>
          </w:sdtPr>
          <w:sdtEndPr/>
          <w:sdtContent>
            <w:p w14:paraId="6F67E894" w14:textId="2BA3A438" w:rsidR="001A6DD6" w:rsidRDefault="001A6DD6" w:rsidP="00D7571B">
              <w:pPr>
                <w:pStyle w:val="TOCHeading"/>
              </w:pPr>
              <w:r>
                <w:t>Contents</w:t>
              </w:r>
            </w:p>
            <w:p w14:paraId="00B5228A" w14:textId="51AFCBB1" w:rsidR="003004BA" w:rsidRDefault="001A6DD6">
              <w:pPr>
                <w:pStyle w:val="TOC1"/>
                <w:rPr>
                  <w:rFonts w:eastAsiaTheme="minorEastAsia"/>
                  <w:noProof/>
                  <w:lang w:eastAsia="en-AU"/>
                </w:rPr>
              </w:pPr>
              <w:r>
                <w:fldChar w:fldCharType="begin"/>
              </w:r>
              <w:r>
                <w:instrText xml:space="preserve"> TOC \o "1-3" \h \z \u </w:instrText>
              </w:r>
              <w:r>
                <w:fldChar w:fldCharType="separate"/>
              </w:r>
              <w:hyperlink w:anchor="_Toc116383690" w:history="1">
                <w:r w:rsidR="003004BA" w:rsidRPr="00EA52DD">
                  <w:rPr>
                    <w:rStyle w:val="Hyperlink"/>
                    <w:noProof/>
                  </w:rPr>
                  <w:t>Purpose of this consultation paper</w:t>
                </w:r>
                <w:r w:rsidR="003004BA">
                  <w:rPr>
                    <w:noProof/>
                    <w:webHidden/>
                  </w:rPr>
                  <w:tab/>
                </w:r>
                <w:r w:rsidR="003004BA">
                  <w:rPr>
                    <w:noProof/>
                    <w:webHidden/>
                  </w:rPr>
                  <w:fldChar w:fldCharType="begin"/>
                </w:r>
                <w:r w:rsidR="003004BA">
                  <w:rPr>
                    <w:noProof/>
                    <w:webHidden/>
                  </w:rPr>
                  <w:instrText xml:space="preserve"> PAGEREF _Toc116383690 \h </w:instrText>
                </w:r>
                <w:r w:rsidR="003004BA">
                  <w:rPr>
                    <w:noProof/>
                    <w:webHidden/>
                  </w:rPr>
                </w:r>
                <w:r w:rsidR="003004BA">
                  <w:rPr>
                    <w:noProof/>
                    <w:webHidden/>
                  </w:rPr>
                  <w:fldChar w:fldCharType="separate"/>
                </w:r>
                <w:r w:rsidR="00AF29EE">
                  <w:rPr>
                    <w:noProof/>
                    <w:webHidden/>
                  </w:rPr>
                  <w:t>0</w:t>
                </w:r>
                <w:r w:rsidR="003004BA">
                  <w:rPr>
                    <w:noProof/>
                    <w:webHidden/>
                  </w:rPr>
                  <w:fldChar w:fldCharType="end"/>
                </w:r>
              </w:hyperlink>
            </w:p>
            <w:p w14:paraId="3FFAC400" w14:textId="1D45D059" w:rsidR="003004BA" w:rsidRDefault="002C5E9F" w:rsidP="0031177A">
              <w:pPr>
                <w:pStyle w:val="TOC2"/>
                <w:rPr>
                  <w:rFonts w:eastAsiaTheme="minorEastAsia"/>
                  <w:noProof/>
                  <w:lang w:eastAsia="en-AU"/>
                </w:rPr>
              </w:pPr>
              <w:hyperlink w:anchor="_Toc116383691" w:history="1">
                <w:r w:rsidR="003004BA" w:rsidRPr="00EA52DD">
                  <w:rPr>
                    <w:rStyle w:val="Hyperlink"/>
                    <w:noProof/>
                  </w:rPr>
                  <w:t>Timeframes for key events</w:t>
                </w:r>
                <w:r w:rsidR="003004BA">
                  <w:rPr>
                    <w:noProof/>
                    <w:webHidden/>
                  </w:rPr>
                  <w:tab/>
                </w:r>
                <w:r w:rsidR="003004BA">
                  <w:rPr>
                    <w:noProof/>
                    <w:webHidden/>
                  </w:rPr>
                  <w:fldChar w:fldCharType="begin"/>
                </w:r>
                <w:r w:rsidR="003004BA">
                  <w:rPr>
                    <w:noProof/>
                    <w:webHidden/>
                  </w:rPr>
                  <w:instrText xml:space="preserve"> PAGEREF _Toc116383691 \h </w:instrText>
                </w:r>
                <w:r w:rsidR="003004BA">
                  <w:rPr>
                    <w:noProof/>
                    <w:webHidden/>
                  </w:rPr>
                </w:r>
                <w:r w:rsidR="003004BA">
                  <w:rPr>
                    <w:noProof/>
                    <w:webHidden/>
                  </w:rPr>
                  <w:fldChar w:fldCharType="separate"/>
                </w:r>
                <w:r w:rsidR="00AF29EE">
                  <w:rPr>
                    <w:noProof/>
                    <w:webHidden/>
                  </w:rPr>
                  <w:t>0</w:t>
                </w:r>
                <w:r w:rsidR="003004BA">
                  <w:rPr>
                    <w:noProof/>
                    <w:webHidden/>
                  </w:rPr>
                  <w:fldChar w:fldCharType="end"/>
                </w:r>
              </w:hyperlink>
            </w:p>
            <w:p w14:paraId="123E12DD" w14:textId="080F6399" w:rsidR="003004BA" w:rsidRDefault="002C5E9F">
              <w:pPr>
                <w:pStyle w:val="TOC1"/>
                <w:rPr>
                  <w:rFonts w:eastAsiaTheme="minorEastAsia"/>
                  <w:noProof/>
                  <w:lang w:eastAsia="en-AU"/>
                </w:rPr>
              </w:pPr>
              <w:hyperlink w:anchor="_Toc116383692" w:history="1">
                <w:r w:rsidR="003004BA" w:rsidRPr="00EA52DD">
                  <w:rPr>
                    <w:rStyle w:val="Hyperlink"/>
                    <w:noProof/>
                  </w:rPr>
                  <w:t>How to submit feedback</w:t>
                </w:r>
                <w:r w:rsidR="003004BA">
                  <w:rPr>
                    <w:noProof/>
                    <w:webHidden/>
                  </w:rPr>
                  <w:tab/>
                </w:r>
                <w:r w:rsidR="003004BA">
                  <w:rPr>
                    <w:noProof/>
                    <w:webHidden/>
                  </w:rPr>
                  <w:fldChar w:fldCharType="begin"/>
                </w:r>
                <w:r w:rsidR="003004BA">
                  <w:rPr>
                    <w:noProof/>
                    <w:webHidden/>
                  </w:rPr>
                  <w:instrText xml:space="preserve"> PAGEREF _Toc116383692 \h </w:instrText>
                </w:r>
                <w:r w:rsidR="003004BA">
                  <w:rPr>
                    <w:noProof/>
                    <w:webHidden/>
                  </w:rPr>
                </w:r>
                <w:r w:rsidR="003004BA">
                  <w:rPr>
                    <w:noProof/>
                    <w:webHidden/>
                  </w:rPr>
                  <w:fldChar w:fldCharType="separate"/>
                </w:r>
                <w:r w:rsidR="00AF29EE">
                  <w:rPr>
                    <w:noProof/>
                    <w:webHidden/>
                  </w:rPr>
                  <w:t>0</w:t>
                </w:r>
                <w:r w:rsidR="003004BA">
                  <w:rPr>
                    <w:noProof/>
                    <w:webHidden/>
                  </w:rPr>
                  <w:fldChar w:fldCharType="end"/>
                </w:r>
              </w:hyperlink>
            </w:p>
            <w:p w14:paraId="72666593" w14:textId="4EB9019F" w:rsidR="003004BA" w:rsidRDefault="002C5E9F">
              <w:pPr>
                <w:pStyle w:val="TOC1"/>
                <w:rPr>
                  <w:rFonts w:eastAsiaTheme="minorEastAsia"/>
                  <w:noProof/>
                  <w:lang w:eastAsia="en-AU"/>
                </w:rPr>
              </w:pPr>
              <w:hyperlink w:anchor="_Toc116383693" w:history="1">
                <w:r w:rsidR="003004BA" w:rsidRPr="00EA52DD">
                  <w:rPr>
                    <w:rStyle w:val="Hyperlink"/>
                    <w:noProof/>
                  </w:rPr>
                  <w:t>Introduction</w:t>
                </w:r>
                <w:r w:rsidR="003004BA">
                  <w:rPr>
                    <w:noProof/>
                    <w:webHidden/>
                  </w:rPr>
                  <w:tab/>
                </w:r>
                <w:r w:rsidR="003004BA">
                  <w:rPr>
                    <w:noProof/>
                    <w:webHidden/>
                  </w:rPr>
                  <w:fldChar w:fldCharType="begin"/>
                </w:r>
                <w:r w:rsidR="003004BA">
                  <w:rPr>
                    <w:noProof/>
                    <w:webHidden/>
                  </w:rPr>
                  <w:instrText xml:space="preserve"> PAGEREF _Toc116383693 \h </w:instrText>
                </w:r>
                <w:r w:rsidR="003004BA">
                  <w:rPr>
                    <w:noProof/>
                    <w:webHidden/>
                  </w:rPr>
                </w:r>
                <w:r w:rsidR="003004BA">
                  <w:rPr>
                    <w:noProof/>
                    <w:webHidden/>
                  </w:rPr>
                  <w:fldChar w:fldCharType="separate"/>
                </w:r>
                <w:r w:rsidR="00AF29EE">
                  <w:rPr>
                    <w:noProof/>
                    <w:webHidden/>
                  </w:rPr>
                  <w:t>1</w:t>
                </w:r>
                <w:r w:rsidR="003004BA">
                  <w:rPr>
                    <w:noProof/>
                    <w:webHidden/>
                  </w:rPr>
                  <w:fldChar w:fldCharType="end"/>
                </w:r>
              </w:hyperlink>
            </w:p>
            <w:p w14:paraId="5D53A892" w14:textId="0BBF17A8" w:rsidR="003004BA" w:rsidRDefault="002C5E9F" w:rsidP="0031177A">
              <w:pPr>
                <w:pStyle w:val="TOC2"/>
                <w:rPr>
                  <w:rFonts w:eastAsiaTheme="minorEastAsia"/>
                  <w:noProof/>
                  <w:lang w:eastAsia="en-AU"/>
                </w:rPr>
              </w:pPr>
              <w:hyperlink w:anchor="_Toc116383694" w:history="1">
                <w:r w:rsidR="003004BA" w:rsidRPr="00EA52DD">
                  <w:rPr>
                    <w:rStyle w:val="Hyperlink"/>
                    <w:noProof/>
                  </w:rPr>
                  <w:t>Regulation of waste exports</w:t>
                </w:r>
                <w:r w:rsidR="003004BA">
                  <w:rPr>
                    <w:noProof/>
                    <w:webHidden/>
                  </w:rPr>
                  <w:tab/>
                </w:r>
                <w:r w:rsidR="003004BA">
                  <w:rPr>
                    <w:noProof/>
                    <w:webHidden/>
                  </w:rPr>
                  <w:fldChar w:fldCharType="begin"/>
                </w:r>
                <w:r w:rsidR="003004BA">
                  <w:rPr>
                    <w:noProof/>
                    <w:webHidden/>
                  </w:rPr>
                  <w:instrText xml:space="preserve"> PAGEREF _Toc116383694 \h </w:instrText>
                </w:r>
                <w:r w:rsidR="003004BA">
                  <w:rPr>
                    <w:noProof/>
                    <w:webHidden/>
                  </w:rPr>
                </w:r>
                <w:r w:rsidR="003004BA">
                  <w:rPr>
                    <w:noProof/>
                    <w:webHidden/>
                  </w:rPr>
                  <w:fldChar w:fldCharType="separate"/>
                </w:r>
                <w:r w:rsidR="00AF29EE">
                  <w:rPr>
                    <w:noProof/>
                    <w:webHidden/>
                  </w:rPr>
                  <w:t>1</w:t>
                </w:r>
                <w:r w:rsidR="003004BA">
                  <w:rPr>
                    <w:noProof/>
                    <w:webHidden/>
                  </w:rPr>
                  <w:fldChar w:fldCharType="end"/>
                </w:r>
              </w:hyperlink>
            </w:p>
            <w:p w14:paraId="6D76BFBB" w14:textId="0EECE778" w:rsidR="003004BA" w:rsidRDefault="002C5E9F">
              <w:pPr>
                <w:pStyle w:val="TOC3"/>
                <w:rPr>
                  <w:rFonts w:eastAsiaTheme="minorEastAsia"/>
                  <w:noProof/>
                  <w:lang w:eastAsia="en-AU"/>
                </w:rPr>
              </w:pPr>
              <w:hyperlink w:anchor="_Toc116383695" w:history="1">
                <w:r w:rsidR="003004BA" w:rsidRPr="00EA52DD">
                  <w:rPr>
                    <w:rStyle w:val="Hyperlink"/>
                    <w:noProof/>
                  </w:rPr>
                  <w:t>Licence and declaration scheme</w:t>
                </w:r>
                <w:r w:rsidR="003004BA">
                  <w:rPr>
                    <w:noProof/>
                    <w:webHidden/>
                  </w:rPr>
                  <w:tab/>
                </w:r>
                <w:r w:rsidR="003004BA">
                  <w:rPr>
                    <w:noProof/>
                    <w:webHidden/>
                  </w:rPr>
                  <w:fldChar w:fldCharType="begin"/>
                </w:r>
                <w:r w:rsidR="003004BA">
                  <w:rPr>
                    <w:noProof/>
                    <w:webHidden/>
                  </w:rPr>
                  <w:instrText xml:space="preserve"> PAGEREF _Toc116383695 \h </w:instrText>
                </w:r>
                <w:r w:rsidR="003004BA">
                  <w:rPr>
                    <w:noProof/>
                    <w:webHidden/>
                  </w:rPr>
                </w:r>
                <w:r w:rsidR="003004BA">
                  <w:rPr>
                    <w:noProof/>
                    <w:webHidden/>
                  </w:rPr>
                  <w:fldChar w:fldCharType="separate"/>
                </w:r>
                <w:r w:rsidR="00AF29EE">
                  <w:rPr>
                    <w:noProof/>
                    <w:webHidden/>
                  </w:rPr>
                  <w:t>2</w:t>
                </w:r>
                <w:r w:rsidR="003004BA">
                  <w:rPr>
                    <w:noProof/>
                    <w:webHidden/>
                  </w:rPr>
                  <w:fldChar w:fldCharType="end"/>
                </w:r>
              </w:hyperlink>
            </w:p>
            <w:p w14:paraId="7FA648D7" w14:textId="7AD2752C" w:rsidR="003004BA" w:rsidRDefault="002C5E9F">
              <w:pPr>
                <w:pStyle w:val="TOC1"/>
                <w:rPr>
                  <w:rFonts w:eastAsiaTheme="minorEastAsia"/>
                  <w:noProof/>
                  <w:lang w:eastAsia="en-AU"/>
                </w:rPr>
              </w:pPr>
              <w:hyperlink w:anchor="_Toc116383696" w:history="1">
                <w:r w:rsidR="003004BA" w:rsidRPr="00EA52DD">
                  <w:rPr>
                    <w:rStyle w:val="Hyperlink"/>
                    <w:noProof/>
                  </w:rPr>
                  <w:t>Cost recovery background</w:t>
                </w:r>
                <w:r w:rsidR="003004BA">
                  <w:rPr>
                    <w:noProof/>
                    <w:webHidden/>
                  </w:rPr>
                  <w:tab/>
                </w:r>
                <w:r w:rsidR="003004BA">
                  <w:rPr>
                    <w:noProof/>
                    <w:webHidden/>
                  </w:rPr>
                  <w:fldChar w:fldCharType="begin"/>
                </w:r>
                <w:r w:rsidR="003004BA">
                  <w:rPr>
                    <w:noProof/>
                    <w:webHidden/>
                  </w:rPr>
                  <w:instrText xml:space="preserve"> PAGEREF _Toc116383696 \h </w:instrText>
                </w:r>
                <w:r w:rsidR="003004BA">
                  <w:rPr>
                    <w:noProof/>
                    <w:webHidden/>
                  </w:rPr>
                </w:r>
                <w:r w:rsidR="003004BA">
                  <w:rPr>
                    <w:noProof/>
                    <w:webHidden/>
                  </w:rPr>
                  <w:fldChar w:fldCharType="separate"/>
                </w:r>
                <w:r w:rsidR="00AF29EE">
                  <w:rPr>
                    <w:noProof/>
                    <w:webHidden/>
                  </w:rPr>
                  <w:t>2</w:t>
                </w:r>
                <w:r w:rsidR="003004BA">
                  <w:rPr>
                    <w:noProof/>
                    <w:webHidden/>
                  </w:rPr>
                  <w:fldChar w:fldCharType="end"/>
                </w:r>
              </w:hyperlink>
            </w:p>
            <w:p w14:paraId="29454D21" w14:textId="751ECFA5" w:rsidR="003004BA" w:rsidRDefault="002C5E9F" w:rsidP="0031177A">
              <w:pPr>
                <w:pStyle w:val="TOC2"/>
                <w:rPr>
                  <w:rFonts w:eastAsiaTheme="minorEastAsia"/>
                  <w:noProof/>
                  <w:lang w:eastAsia="en-AU"/>
                </w:rPr>
              </w:pPr>
              <w:hyperlink w:anchor="_Toc116383697" w:history="1">
                <w:r w:rsidR="003004BA" w:rsidRPr="00EA52DD">
                  <w:rPr>
                    <w:rStyle w:val="Hyperlink"/>
                    <w:noProof/>
                  </w:rPr>
                  <w:t>Outputs and business processes of the regulatory charging activity</w:t>
                </w:r>
                <w:r w:rsidR="003004BA">
                  <w:rPr>
                    <w:noProof/>
                    <w:webHidden/>
                  </w:rPr>
                  <w:tab/>
                </w:r>
                <w:r w:rsidR="003004BA">
                  <w:rPr>
                    <w:noProof/>
                    <w:webHidden/>
                  </w:rPr>
                  <w:fldChar w:fldCharType="begin"/>
                </w:r>
                <w:r w:rsidR="003004BA">
                  <w:rPr>
                    <w:noProof/>
                    <w:webHidden/>
                  </w:rPr>
                  <w:instrText xml:space="preserve"> PAGEREF _Toc116383697 \h </w:instrText>
                </w:r>
                <w:r w:rsidR="003004BA">
                  <w:rPr>
                    <w:noProof/>
                    <w:webHidden/>
                  </w:rPr>
                </w:r>
                <w:r w:rsidR="003004BA">
                  <w:rPr>
                    <w:noProof/>
                    <w:webHidden/>
                  </w:rPr>
                  <w:fldChar w:fldCharType="separate"/>
                </w:r>
                <w:r w:rsidR="00AF29EE">
                  <w:rPr>
                    <w:noProof/>
                    <w:webHidden/>
                  </w:rPr>
                  <w:t>2</w:t>
                </w:r>
                <w:r w:rsidR="003004BA">
                  <w:rPr>
                    <w:noProof/>
                    <w:webHidden/>
                  </w:rPr>
                  <w:fldChar w:fldCharType="end"/>
                </w:r>
              </w:hyperlink>
            </w:p>
            <w:p w14:paraId="62ACA98D" w14:textId="36DF30C2" w:rsidR="003004BA" w:rsidRDefault="002C5E9F" w:rsidP="0031177A">
              <w:pPr>
                <w:pStyle w:val="TOC2"/>
                <w:rPr>
                  <w:rFonts w:eastAsiaTheme="minorEastAsia"/>
                  <w:noProof/>
                  <w:lang w:eastAsia="en-AU"/>
                </w:rPr>
              </w:pPr>
              <w:hyperlink w:anchor="_Toc116383698" w:history="1">
                <w:r w:rsidR="003004BA" w:rsidRPr="00EA52DD">
                  <w:rPr>
                    <w:rStyle w:val="Hyperlink"/>
                    <w:noProof/>
                  </w:rPr>
                  <w:t>Costs of the regulatory charging activity</w:t>
                </w:r>
                <w:r w:rsidR="003004BA">
                  <w:rPr>
                    <w:noProof/>
                    <w:webHidden/>
                  </w:rPr>
                  <w:tab/>
                </w:r>
                <w:r w:rsidR="003004BA">
                  <w:rPr>
                    <w:noProof/>
                    <w:webHidden/>
                  </w:rPr>
                  <w:fldChar w:fldCharType="begin"/>
                </w:r>
                <w:r w:rsidR="003004BA">
                  <w:rPr>
                    <w:noProof/>
                    <w:webHidden/>
                  </w:rPr>
                  <w:instrText xml:space="preserve"> PAGEREF _Toc116383698 \h </w:instrText>
                </w:r>
                <w:r w:rsidR="003004BA">
                  <w:rPr>
                    <w:noProof/>
                    <w:webHidden/>
                  </w:rPr>
                </w:r>
                <w:r w:rsidR="003004BA">
                  <w:rPr>
                    <w:noProof/>
                    <w:webHidden/>
                  </w:rPr>
                  <w:fldChar w:fldCharType="separate"/>
                </w:r>
                <w:r w:rsidR="00AF29EE">
                  <w:rPr>
                    <w:noProof/>
                    <w:webHidden/>
                  </w:rPr>
                  <w:t>3</w:t>
                </w:r>
                <w:r w:rsidR="003004BA">
                  <w:rPr>
                    <w:noProof/>
                    <w:webHidden/>
                  </w:rPr>
                  <w:fldChar w:fldCharType="end"/>
                </w:r>
              </w:hyperlink>
            </w:p>
            <w:p w14:paraId="14F179C4" w14:textId="5C1157BA" w:rsidR="003004BA" w:rsidRDefault="002C5E9F">
              <w:pPr>
                <w:pStyle w:val="TOC3"/>
                <w:rPr>
                  <w:rFonts w:eastAsiaTheme="minorEastAsia"/>
                  <w:noProof/>
                  <w:lang w:eastAsia="en-AU"/>
                </w:rPr>
              </w:pPr>
              <w:hyperlink w:anchor="_Toc116383699" w:history="1">
                <w:r w:rsidR="003004BA" w:rsidRPr="00EA52DD">
                  <w:rPr>
                    <w:rStyle w:val="Hyperlink"/>
                    <w:noProof/>
                  </w:rPr>
                  <w:t>Assumptions underpinning the cost models</w:t>
                </w:r>
                <w:r w:rsidR="003004BA">
                  <w:rPr>
                    <w:noProof/>
                    <w:webHidden/>
                  </w:rPr>
                  <w:tab/>
                </w:r>
                <w:r w:rsidR="003004BA">
                  <w:rPr>
                    <w:noProof/>
                    <w:webHidden/>
                  </w:rPr>
                  <w:fldChar w:fldCharType="begin"/>
                </w:r>
                <w:r w:rsidR="003004BA">
                  <w:rPr>
                    <w:noProof/>
                    <w:webHidden/>
                  </w:rPr>
                  <w:instrText xml:space="preserve"> PAGEREF _Toc116383699 \h </w:instrText>
                </w:r>
                <w:r w:rsidR="003004BA">
                  <w:rPr>
                    <w:noProof/>
                    <w:webHidden/>
                  </w:rPr>
                </w:r>
                <w:r w:rsidR="003004BA">
                  <w:rPr>
                    <w:noProof/>
                    <w:webHidden/>
                  </w:rPr>
                  <w:fldChar w:fldCharType="separate"/>
                </w:r>
                <w:r w:rsidR="00AF29EE">
                  <w:rPr>
                    <w:noProof/>
                    <w:webHidden/>
                  </w:rPr>
                  <w:t>4</w:t>
                </w:r>
                <w:r w:rsidR="003004BA">
                  <w:rPr>
                    <w:noProof/>
                    <w:webHidden/>
                  </w:rPr>
                  <w:fldChar w:fldCharType="end"/>
                </w:r>
              </w:hyperlink>
            </w:p>
            <w:p w14:paraId="0ED90B21" w14:textId="08BC7DB4" w:rsidR="003004BA" w:rsidRDefault="002C5E9F">
              <w:pPr>
                <w:pStyle w:val="TOC1"/>
                <w:rPr>
                  <w:rFonts w:eastAsiaTheme="minorEastAsia"/>
                  <w:noProof/>
                  <w:lang w:eastAsia="en-AU"/>
                </w:rPr>
              </w:pPr>
              <w:hyperlink w:anchor="_Toc116383700" w:history="1">
                <w:r w:rsidR="003004BA" w:rsidRPr="00EA52DD">
                  <w:rPr>
                    <w:rStyle w:val="Hyperlink"/>
                    <w:noProof/>
                  </w:rPr>
                  <w:t>Cost Models</w:t>
                </w:r>
                <w:r w:rsidR="003004BA">
                  <w:rPr>
                    <w:noProof/>
                    <w:webHidden/>
                  </w:rPr>
                  <w:tab/>
                </w:r>
                <w:r w:rsidR="003004BA">
                  <w:rPr>
                    <w:noProof/>
                    <w:webHidden/>
                  </w:rPr>
                  <w:fldChar w:fldCharType="begin"/>
                </w:r>
                <w:r w:rsidR="003004BA">
                  <w:rPr>
                    <w:noProof/>
                    <w:webHidden/>
                  </w:rPr>
                  <w:instrText xml:space="preserve"> PAGEREF _Toc116383700 \h </w:instrText>
                </w:r>
                <w:r w:rsidR="003004BA">
                  <w:rPr>
                    <w:noProof/>
                    <w:webHidden/>
                  </w:rPr>
                </w:r>
                <w:r w:rsidR="003004BA">
                  <w:rPr>
                    <w:noProof/>
                    <w:webHidden/>
                  </w:rPr>
                  <w:fldChar w:fldCharType="separate"/>
                </w:r>
                <w:r w:rsidR="00AF29EE">
                  <w:rPr>
                    <w:noProof/>
                    <w:webHidden/>
                  </w:rPr>
                  <w:t>5</w:t>
                </w:r>
                <w:r w:rsidR="003004BA">
                  <w:rPr>
                    <w:noProof/>
                    <w:webHidden/>
                  </w:rPr>
                  <w:fldChar w:fldCharType="end"/>
                </w:r>
              </w:hyperlink>
            </w:p>
            <w:p w14:paraId="378CA9EF" w14:textId="21A92B5E" w:rsidR="003004BA" w:rsidRDefault="002C5E9F" w:rsidP="0031177A">
              <w:pPr>
                <w:pStyle w:val="TOC2"/>
                <w:rPr>
                  <w:rFonts w:eastAsiaTheme="minorEastAsia"/>
                  <w:noProof/>
                  <w:lang w:eastAsia="en-AU"/>
                </w:rPr>
              </w:pPr>
              <w:hyperlink w:anchor="_Toc116383701" w:history="1">
                <w:r w:rsidR="003004BA" w:rsidRPr="00EA52DD">
                  <w:rPr>
                    <w:rStyle w:val="Hyperlink"/>
                    <w:noProof/>
                  </w:rPr>
                  <w:t>Overview</w:t>
                </w:r>
                <w:r w:rsidR="003004BA">
                  <w:rPr>
                    <w:noProof/>
                    <w:webHidden/>
                  </w:rPr>
                  <w:tab/>
                </w:r>
                <w:r w:rsidR="003004BA">
                  <w:rPr>
                    <w:noProof/>
                    <w:webHidden/>
                  </w:rPr>
                  <w:fldChar w:fldCharType="begin"/>
                </w:r>
                <w:r w:rsidR="003004BA">
                  <w:rPr>
                    <w:noProof/>
                    <w:webHidden/>
                  </w:rPr>
                  <w:instrText xml:space="preserve"> PAGEREF _Toc116383701 \h </w:instrText>
                </w:r>
                <w:r w:rsidR="003004BA">
                  <w:rPr>
                    <w:noProof/>
                    <w:webHidden/>
                  </w:rPr>
                </w:r>
                <w:r w:rsidR="003004BA">
                  <w:rPr>
                    <w:noProof/>
                    <w:webHidden/>
                  </w:rPr>
                  <w:fldChar w:fldCharType="separate"/>
                </w:r>
                <w:r w:rsidR="00AF29EE">
                  <w:rPr>
                    <w:noProof/>
                    <w:webHidden/>
                  </w:rPr>
                  <w:t>5</w:t>
                </w:r>
                <w:r w:rsidR="003004BA">
                  <w:rPr>
                    <w:noProof/>
                    <w:webHidden/>
                  </w:rPr>
                  <w:fldChar w:fldCharType="end"/>
                </w:r>
              </w:hyperlink>
            </w:p>
            <w:p w14:paraId="2A601177" w14:textId="58F38982" w:rsidR="003004BA" w:rsidRDefault="002C5E9F" w:rsidP="0031177A">
              <w:pPr>
                <w:pStyle w:val="TOC2"/>
                <w:rPr>
                  <w:rFonts w:eastAsiaTheme="minorEastAsia"/>
                  <w:noProof/>
                  <w:lang w:eastAsia="en-AU"/>
                </w:rPr>
              </w:pPr>
              <w:hyperlink w:anchor="_Toc116383702" w:history="1">
                <w:r w:rsidR="003004BA" w:rsidRPr="00EA52DD">
                  <w:rPr>
                    <w:rStyle w:val="Hyperlink"/>
                    <w:noProof/>
                  </w:rPr>
                  <w:t>Option One: Flat fee for each application type</w:t>
                </w:r>
                <w:r w:rsidR="003004BA">
                  <w:rPr>
                    <w:noProof/>
                    <w:webHidden/>
                  </w:rPr>
                  <w:tab/>
                </w:r>
                <w:r w:rsidR="003004BA">
                  <w:rPr>
                    <w:noProof/>
                    <w:webHidden/>
                  </w:rPr>
                  <w:fldChar w:fldCharType="begin"/>
                </w:r>
                <w:r w:rsidR="003004BA">
                  <w:rPr>
                    <w:noProof/>
                    <w:webHidden/>
                  </w:rPr>
                  <w:instrText xml:space="preserve"> PAGEREF _Toc116383702 \h </w:instrText>
                </w:r>
                <w:r w:rsidR="003004BA">
                  <w:rPr>
                    <w:noProof/>
                    <w:webHidden/>
                  </w:rPr>
                </w:r>
                <w:r w:rsidR="003004BA">
                  <w:rPr>
                    <w:noProof/>
                    <w:webHidden/>
                  </w:rPr>
                  <w:fldChar w:fldCharType="separate"/>
                </w:r>
                <w:r w:rsidR="00AF29EE">
                  <w:rPr>
                    <w:noProof/>
                    <w:webHidden/>
                  </w:rPr>
                  <w:t>7</w:t>
                </w:r>
                <w:r w:rsidR="003004BA">
                  <w:rPr>
                    <w:noProof/>
                    <w:webHidden/>
                  </w:rPr>
                  <w:fldChar w:fldCharType="end"/>
                </w:r>
              </w:hyperlink>
            </w:p>
            <w:p w14:paraId="428ABB53" w14:textId="1BFE98E7" w:rsidR="003004BA" w:rsidRDefault="002C5E9F" w:rsidP="0031177A">
              <w:pPr>
                <w:pStyle w:val="TOC2"/>
                <w:rPr>
                  <w:rFonts w:eastAsiaTheme="minorEastAsia"/>
                  <w:noProof/>
                  <w:lang w:eastAsia="en-AU"/>
                </w:rPr>
              </w:pPr>
              <w:hyperlink w:anchor="_Toc116383703" w:history="1">
                <w:r w:rsidR="003004BA" w:rsidRPr="00EA52DD">
                  <w:rPr>
                    <w:rStyle w:val="Hyperlink"/>
                    <w:noProof/>
                  </w:rPr>
                  <w:t>Option Two: A base assessment fee and an additional fee for further assessment as required</w:t>
                </w:r>
                <w:r w:rsidR="003004BA">
                  <w:rPr>
                    <w:noProof/>
                    <w:webHidden/>
                  </w:rPr>
                  <w:tab/>
                </w:r>
                <w:r w:rsidR="003004BA">
                  <w:rPr>
                    <w:noProof/>
                    <w:webHidden/>
                  </w:rPr>
                  <w:fldChar w:fldCharType="begin"/>
                </w:r>
                <w:r w:rsidR="003004BA">
                  <w:rPr>
                    <w:noProof/>
                    <w:webHidden/>
                  </w:rPr>
                  <w:instrText xml:space="preserve"> PAGEREF _Toc116383703 \h </w:instrText>
                </w:r>
                <w:r w:rsidR="003004BA">
                  <w:rPr>
                    <w:noProof/>
                    <w:webHidden/>
                  </w:rPr>
                </w:r>
                <w:r w:rsidR="003004BA">
                  <w:rPr>
                    <w:noProof/>
                    <w:webHidden/>
                  </w:rPr>
                  <w:fldChar w:fldCharType="separate"/>
                </w:r>
                <w:r w:rsidR="00AF29EE">
                  <w:rPr>
                    <w:noProof/>
                    <w:webHidden/>
                  </w:rPr>
                  <w:t>8</w:t>
                </w:r>
                <w:r w:rsidR="003004BA">
                  <w:rPr>
                    <w:noProof/>
                    <w:webHidden/>
                  </w:rPr>
                  <w:fldChar w:fldCharType="end"/>
                </w:r>
              </w:hyperlink>
            </w:p>
            <w:p w14:paraId="5F4148BA" w14:textId="5D5B17BD" w:rsidR="003004BA" w:rsidRDefault="002C5E9F">
              <w:pPr>
                <w:pStyle w:val="TOC3"/>
                <w:rPr>
                  <w:rFonts w:eastAsiaTheme="minorEastAsia"/>
                  <w:noProof/>
                  <w:lang w:eastAsia="en-AU"/>
                </w:rPr>
              </w:pPr>
              <w:hyperlink w:anchor="_Toc116383704" w:history="1">
                <w:r w:rsidR="003004BA" w:rsidRPr="00EA52DD">
                  <w:rPr>
                    <w:rStyle w:val="Hyperlink"/>
                    <w:noProof/>
                  </w:rPr>
                  <w:t>Capped hours</w:t>
                </w:r>
                <w:r w:rsidR="003004BA">
                  <w:rPr>
                    <w:noProof/>
                    <w:webHidden/>
                  </w:rPr>
                  <w:tab/>
                </w:r>
                <w:r w:rsidR="003004BA">
                  <w:rPr>
                    <w:noProof/>
                    <w:webHidden/>
                  </w:rPr>
                  <w:fldChar w:fldCharType="begin"/>
                </w:r>
                <w:r w:rsidR="003004BA">
                  <w:rPr>
                    <w:noProof/>
                    <w:webHidden/>
                  </w:rPr>
                  <w:instrText xml:space="preserve"> PAGEREF _Toc116383704 \h </w:instrText>
                </w:r>
                <w:r w:rsidR="003004BA">
                  <w:rPr>
                    <w:noProof/>
                    <w:webHidden/>
                  </w:rPr>
                </w:r>
                <w:r w:rsidR="003004BA">
                  <w:rPr>
                    <w:noProof/>
                    <w:webHidden/>
                  </w:rPr>
                  <w:fldChar w:fldCharType="separate"/>
                </w:r>
                <w:r w:rsidR="00AF29EE">
                  <w:rPr>
                    <w:noProof/>
                    <w:webHidden/>
                  </w:rPr>
                  <w:t>8</w:t>
                </w:r>
                <w:r w:rsidR="003004BA">
                  <w:rPr>
                    <w:noProof/>
                    <w:webHidden/>
                  </w:rPr>
                  <w:fldChar w:fldCharType="end"/>
                </w:r>
              </w:hyperlink>
            </w:p>
            <w:p w14:paraId="668FDEC9" w14:textId="4B73474B" w:rsidR="003004BA" w:rsidRDefault="002C5E9F">
              <w:pPr>
                <w:pStyle w:val="TOC3"/>
                <w:rPr>
                  <w:rFonts w:eastAsiaTheme="minorEastAsia"/>
                  <w:noProof/>
                  <w:lang w:eastAsia="en-AU"/>
                </w:rPr>
              </w:pPr>
              <w:hyperlink w:anchor="_Toc116383705" w:history="1">
                <w:r w:rsidR="003004BA" w:rsidRPr="00EA52DD">
                  <w:rPr>
                    <w:rStyle w:val="Hyperlink"/>
                    <w:noProof/>
                  </w:rPr>
                  <w:t>Calculation of flat fee component</w:t>
                </w:r>
                <w:r w:rsidR="003004BA">
                  <w:rPr>
                    <w:noProof/>
                    <w:webHidden/>
                  </w:rPr>
                  <w:tab/>
                </w:r>
                <w:r w:rsidR="003004BA">
                  <w:rPr>
                    <w:noProof/>
                    <w:webHidden/>
                  </w:rPr>
                  <w:fldChar w:fldCharType="begin"/>
                </w:r>
                <w:r w:rsidR="003004BA">
                  <w:rPr>
                    <w:noProof/>
                    <w:webHidden/>
                  </w:rPr>
                  <w:instrText xml:space="preserve"> PAGEREF _Toc116383705 \h </w:instrText>
                </w:r>
                <w:r w:rsidR="003004BA">
                  <w:rPr>
                    <w:noProof/>
                    <w:webHidden/>
                  </w:rPr>
                </w:r>
                <w:r w:rsidR="003004BA">
                  <w:rPr>
                    <w:noProof/>
                    <w:webHidden/>
                  </w:rPr>
                  <w:fldChar w:fldCharType="separate"/>
                </w:r>
                <w:r w:rsidR="00AF29EE">
                  <w:rPr>
                    <w:noProof/>
                    <w:webHidden/>
                  </w:rPr>
                  <w:t>8</w:t>
                </w:r>
                <w:r w:rsidR="003004BA">
                  <w:rPr>
                    <w:noProof/>
                    <w:webHidden/>
                  </w:rPr>
                  <w:fldChar w:fldCharType="end"/>
                </w:r>
              </w:hyperlink>
            </w:p>
            <w:p w14:paraId="3862AF58" w14:textId="56CF472F" w:rsidR="003004BA" w:rsidRDefault="002C5E9F">
              <w:pPr>
                <w:pStyle w:val="TOC3"/>
                <w:rPr>
                  <w:rFonts w:eastAsiaTheme="minorEastAsia"/>
                  <w:noProof/>
                  <w:lang w:eastAsia="en-AU"/>
                </w:rPr>
              </w:pPr>
              <w:hyperlink w:anchor="_Toc116383706" w:history="1">
                <w:r w:rsidR="003004BA" w:rsidRPr="00EA52DD">
                  <w:rPr>
                    <w:rStyle w:val="Hyperlink"/>
                    <w:noProof/>
                  </w:rPr>
                  <w:t>Calculation of hourly rate</w:t>
                </w:r>
                <w:r w:rsidR="003004BA">
                  <w:rPr>
                    <w:noProof/>
                    <w:webHidden/>
                  </w:rPr>
                  <w:tab/>
                </w:r>
                <w:r w:rsidR="003004BA">
                  <w:rPr>
                    <w:noProof/>
                    <w:webHidden/>
                  </w:rPr>
                  <w:fldChar w:fldCharType="begin"/>
                </w:r>
                <w:r w:rsidR="003004BA">
                  <w:rPr>
                    <w:noProof/>
                    <w:webHidden/>
                  </w:rPr>
                  <w:instrText xml:space="preserve"> PAGEREF _Toc116383706 \h </w:instrText>
                </w:r>
                <w:r w:rsidR="003004BA">
                  <w:rPr>
                    <w:noProof/>
                    <w:webHidden/>
                  </w:rPr>
                </w:r>
                <w:r w:rsidR="003004BA">
                  <w:rPr>
                    <w:noProof/>
                    <w:webHidden/>
                  </w:rPr>
                  <w:fldChar w:fldCharType="separate"/>
                </w:r>
                <w:r w:rsidR="00AF29EE">
                  <w:rPr>
                    <w:noProof/>
                    <w:webHidden/>
                  </w:rPr>
                  <w:t>9</w:t>
                </w:r>
                <w:r w:rsidR="003004BA">
                  <w:rPr>
                    <w:noProof/>
                    <w:webHidden/>
                  </w:rPr>
                  <w:fldChar w:fldCharType="end"/>
                </w:r>
              </w:hyperlink>
            </w:p>
            <w:p w14:paraId="3CED9324" w14:textId="0DB93DB4" w:rsidR="003004BA" w:rsidRDefault="002C5E9F">
              <w:pPr>
                <w:pStyle w:val="TOC3"/>
                <w:rPr>
                  <w:rFonts w:eastAsiaTheme="minorEastAsia"/>
                  <w:noProof/>
                  <w:lang w:eastAsia="en-AU"/>
                </w:rPr>
              </w:pPr>
              <w:hyperlink w:anchor="_Toc116383707" w:history="1">
                <w:r w:rsidR="003004BA" w:rsidRPr="00EA52DD">
                  <w:rPr>
                    <w:rStyle w:val="Hyperlink"/>
                    <w:noProof/>
                  </w:rPr>
                  <w:t>Proposed Fee Schedule</w:t>
                </w:r>
                <w:r w:rsidR="003004BA">
                  <w:rPr>
                    <w:noProof/>
                    <w:webHidden/>
                  </w:rPr>
                  <w:tab/>
                </w:r>
                <w:r w:rsidR="003004BA">
                  <w:rPr>
                    <w:noProof/>
                    <w:webHidden/>
                  </w:rPr>
                  <w:fldChar w:fldCharType="begin"/>
                </w:r>
                <w:r w:rsidR="003004BA">
                  <w:rPr>
                    <w:noProof/>
                    <w:webHidden/>
                  </w:rPr>
                  <w:instrText xml:space="preserve"> PAGEREF _Toc116383707 \h </w:instrText>
                </w:r>
                <w:r w:rsidR="003004BA">
                  <w:rPr>
                    <w:noProof/>
                    <w:webHidden/>
                  </w:rPr>
                </w:r>
                <w:r w:rsidR="003004BA">
                  <w:rPr>
                    <w:noProof/>
                    <w:webHidden/>
                  </w:rPr>
                  <w:fldChar w:fldCharType="separate"/>
                </w:r>
                <w:r w:rsidR="00AF29EE">
                  <w:rPr>
                    <w:noProof/>
                    <w:webHidden/>
                  </w:rPr>
                  <w:t>10</w:t>
                </w:r>
                <w:r w:rsidR="003004BA">
                  <w:rPr>
                    <w:noProof/>
                    <w:webHidden/>
                  </w:rPr>
                  <w:fldChar w:fldCharType="end"/>
                </w:r>
              </w:hyperlink>
            </w:p>
            <w:p w14:paraId="0132B38F" w14:textId="65940E99" w:rsidR="003004BA" w:rsidRDefault="002C5E9F" w:rsidP="0031177A">
              <w:pPr>
                <w:pStyle w:val="TOC2"/>
                <w:rPr>
                  <w:rFonts w:eastAsiaTheme="minorEastAsia"/>
                  <w:noProof/>
                  <w:lang w:eastAsia="en-AU"/>
                </w:rPr>
              </w:pPr>
              <w:hyperlink w:anchor="_Toc116383708" w:history="1">
                <w:r w:rsidR="003004BA" w:rsidRPr="00EA52DD">
                  <w:rPr>
                    <w:rStyle w:val="Hyperlink"/>
                    <w:noProof/>
                  </w:rPr>
                  <w:t>Levy</w:t>
                </w:r>
                <w:r w:rsidR="003004BA">
                  <w:rPr>
                    <w:noProof/>
                    <w:webHidden/>
                  </w:rPr>
                  <w:tab/>
                </w:r>
                <w:r w:rsidR="003004BA">
                  <w:rPr>
                    <w:noProof/>
                    <w:webHidden/>
                  </w:rPr>
                  <w:fldChar w:fldCharType="begin"/>
                </w:r>
                <w:r w:rsidR="003004BA">
                  <w:rPr>
                    <w:noProof/>
                    <w:webHidden/>
                  </w:rPr>
                  <w:instrText xml:space="preserve"> PAGEREF _Toc116383708 \h </w:instrText>
                </w:r>
                <w:r w:rsidR="003004BA">
                  <w:rPr>
                    <w:noProof/>
                    <w:webHidden/>
                  </w:rPr>
                </w:r>
                <w:r w:rsidR="003004BA">
                  <w:rPr>
                    <w:noProof/>
                    <w:webHidden/>
                  </w:rPr>
                  <w:fldChar w:fldCharType="separate"/>
                </w:r>
                <w:r w:rsidR="00AF29EE">
                  <w:rPr>
                    <w:noProof/>
                    <w:webHidden/>
                  </w:rPr>
                  <w:t>11</w:t>
                </w:r>
                <w:r w:rsidR="003004BA">
                  <w:rPr>
                    <w:noProof/>
                    <w:webHidden/>
                  </w:rPr>
                  <w:fldChar w:fldCharType="end"/>
                </w:r>
              </w:hyperlink>
            </w:p>
            <w:p w14:paraId="111F2282" w14:textId="4A187470" w:rsidR="003004BA" w:rsidRDefault="002C5E9F">
              <w:pPr>
                <w:pStyle w:val="TOC3"/>
                <w:rPr>
                  <w:rFonts w:eastAsiaTheme="minorEastAsia"/>
                  <w:noProof/>
                  <w:lang w:eastAsia="en-AU"/>
                </w:rPr>
              </w:pPr>
              <w:hyperlink w:anchor="_Toc116383709" w:history="1">
                <w:r w:rsidR="003004BA" w:rsidRPr="00EA52DD">
                  <w:rPr>
                    <w:rStyle w:val="Hyperlink"/>
                    <w:noProof/>
                  </w:rPr>
                  <w:t>Activity Cost Breakdown</w:t>
                </w:r>
                <w:r w:rsidR="003004BA">
                  <w:rPr>
                    <w:noProof/>
                    <w:webHidden/>
                  </w:rPr>
                  <w:tab/>
                </w:r>
                <w:r w:rsidR="003004BA">
                  <w:rPr>
                    <w:noProof/>
                    <w:webHidden/>
                  </w:rPr>
                  <w:fldChar w:fldCharType="begin"/>
                </w:r>
                <w:r w:rsidR="003004BA">
                  <w:rPr>
                    <w:noProof/>
                    <w:webHidden/>
                  </w:rPr>
                  <w:instrText xml:space="preserve"> PAGEREF _Toc116383709 \h </w:instrText>
                </w:r>
                <w:r w:rsidR="003004BA">
                  <w:rPr>
                    <w:noProof/>
                    <w:webHidden/>
                  </w:rPr>
                </w:r>
                <w:r w:rsidR="003004BA">
                  <w:rPr>
                    <w:noProof/>
                    <w:webHidden/>
                  </w:rPr>
                  <w:fldChar w:fldCharType="separate"/>
                </w:r>
                <w:r w:rsidR="00AF29EE">
                  <w:rPr>
                    <w:noProof/>
                    <w:webHidden/>
                  </w:rPr>
                  <w:t>11</w:t>
                </w:r>
                <w:r w:rsidR="003004BA">
                  <w:rPr>
                    <w:noProof/>
                    <w:webHidden/>
                  </w:rPr>
                  <w:fldChar w:fldCharType="end"/>
                </w:r>
              </w:hyperlink>
            </w:p>
            <w:p w14:paraId="727B997C" w14:textId="22ADF05F" w:rsidR="003004BA" w:rsidRDefault="002C5E9F">
              <w:pPr>
                <w:pStyle w:val="TOC3"/>
                <w:rPr>
                  <w:rFonts w:eastAsiaTheme="minorEastAsia"/>
                  <w:noProof/>
                  <w:lang w:eastAsia="en-AU"/>
                </w:rPr>
              </w:pPr>
              <w:hyperlink w:anchor="_Toc116383710" w:history="1">
                <w:r w:rsidR="003004BA" w:rsidRPr="00EA52DD">
                  <w:rPr>
                    <w:rStyle w:val="Hyperlink"/>
                    <w:noProof/>
                  </w:rPr>
                  <w:t>Payment of fees and levy</w:t>
                </w:r>
                <w:r w:rsidR="003004BA">
                  <w:rPr>
                    <w:noProof/>
                    <w:webHidden/>
                  </w:rPr>
                  <w:tab/>
                </w:r>
                <w:r w:rsidR="003004BA">
                  <w:rPr>
                    <w:noProof/>
                    <w:webHidden/>
                  </w:rPr>
                  <w:fldChar w:fldCharType="begin"/>
                </w:r>
                <w:r w:rsidR="003004BA">
                  <w:rPr>
                    <w:noProof/>
                    <w:webHidden/>
                  </w:rPr>
                  <w:instrText xml:space="preserve"> PAGEREF _Toc116383710 \h </w:instrText>
                </w:r>
                <w:r w:rsidR="003004BA">
                  <w:rPr>
                    <w:noProof/>
                    <w:webHidden/>
                  </w:rPr>
                </w:r>
                <w:r w:rsidR="003004BA">
                  <w:rPr>
                    <w:noProof/>
                    <w:webHidden/>
                  </w:rPr>
                  <w:fldChar w:fldCharType="separate"/>
                </w:r>
                <w:r w:rsidR="00AF29EE">
                  <w:rPr>
                    <w:noProof/>
                    <w:webHidden/>
                  </w:rPr>
                  <w:t>13</w:t>
                </w:r>
                <w:r w:rsidR="003004BA">
                  <w:rPr>
                    <w:noProof/>
                    <w:webHidden/>
                  </w:rPr>
                  <w:fldChar w:fldCharType="end"/>
                </w:r>
              </w:hyperlink>
            </w:p>
            <w:p w14:paraId="0ABC2199" w14:textId="2A7BA476" w:rsidR="003004BA" w:rsidRDefault="002C5E9F" w:rsidP="0031177A">
              <w:pPr>
                <w:pStyle w:val="TOC2"/>
                <w:rPr>
                  <w:rFonts w:eastAsiaTheme="minorEastAsia"/>
                  <w:noProof/>
                  <w:lang w:eastAsia="en-AU"/>
                </w:rPr>
              </w:pPr>
              <w:hyperlink w:anchor="_Toc116383711" w:history="1">
                <w:r w:rsidR="003004BA" w:rsidRPr="00EA52DD">
                  <w:rPr>
                    <w:rStyle w:val="Hyperlink"/>
                    <w:noProof/>
                  </w:rPr>
                  <w:t>Costing Reviews</w:t>
                </w:r>
                <w:r w:rsidR="003004BA">
                  <w:rPr>
                    <w:noProof/>
                    <w:webHidden/>
                  </w:rPr>
                  <w:tab/>
                </w:r>
                <w:r w:rsidR="003004BA">
                  <w:rPr>
                    <w:noProof/>
                    <w:webHidden/>
                  </w:rPr>
                  <w:fldChar w:fldCharType="begin"/>
                </w:r>
                <w:r w:rsidR="003004BA">
                  <w:rPr>
                    <w:noProof/>
                    <w:webHidden/>
                  </w:rPr>
                  <w:instrText xml:space="preserve"> PAGEREF _Toc116383711 \h </w:instrText>
                </w:r>
                <w:r w:rsidR="003004BA">
                  <w:rPr>
                    <w:noProof/>
                    <w:webHidden/>
                  </w:rPr>
                </w:r>
                <w:r w:rsidR="003004BA">
                  <w:rPr>
                    <w:noProof/>
                    <w:webHidden/>
                  </w:rPr>
                  <w:fldChar w:fldCharType="separate"/>
                </w:r>
                <w:r w:rsidR="00AF29EE">
                  <w:rPr>
                    <w:noProof/>
                    <w:webHidden/>
                  </w:rPr>
                  <w:t>13</w:t>
                </w:r>
                <w:r w:rsidR="003004BA">
                  <w:rPr>
                    <w:noProof/>
                    <w:webHidden/>
                  </w:rPr>
                  <w:fldChar w:fldCharType="end"/>
                </w:r>
              </w:hyperlink>
            </w:p>
            <w:p w14:paraId="6E61A9E5" w14:textId="7880CC7F" w:rsidR="003004BA" w:rsidRDefault="002C5E9F">
              <w:pPr>
                <w:pStyle w:val="TOC1"/>
                <w:rPr>
                  <w:rFonts w:eastAsiaTheme="minorEastAsia"/>
                  <w:noProof/>
                  <w:lang w:eastAsia="en-AU"/>
                </w:rPr>
              </w:pPr>
              <w:hyperlink w:anchor="_Toc116383712" w:history="1">
                <w:r w:rsidR="003004BA" w:rsidRPr="00EA52DD">
                  <w:rPr>
                    <w:rStyle w:val="Hyperlink"/>
                    <w:noProof/>
                  </w:rPr>
                  <w:t>Risk assessment</w:t>
                </w:r>
                <w:r w:rsidR="003004BA">
                  <w:rPr>
                    <w:noProof/>
                    <w:webHidden/>
                  </w:rPr>
                  <w:tab/>
                </w:r>
                <w:r w:rsidR="003004BA">
                  <w:rPr>
                    <w:noProof/>
                    <w:webHidden/>
                  </w:rPr>
                  <w:fldChar w:fldCharType="begin"/>
                </w:r>
                <w:r w:rsidR="003004BA">
                  <w:rPr>
                    <w:noProof/>
                    <w:webHidden/>
                  </w:rPr>
                  <w:instrText xml:space="preserve"> PAGEREF _Toc116383712 \h </w:instrText>
                </w:r>
                <w:r w:rsidR="003004BA">
                  <w:rPr>
                    <w:noProof/>
                    <w:webHidden/>
                  </w:rPr>
                </w:r>
                <w:r w:rsidR="003004BA">
                  <w:rPr>
                    <w:noProof/>
                    <w:webHidden/>
                  </w:rPr>
                  <w:fldChar w:fldCharType="separate"/>
                </w:r>
                <w:r w:rsidR="00AF29EE">
                  <w:rPr>
                    <w:noProof/>
                    <w:webHidden/>
                  </w:rPr>
                  <w:t>13</w:t>
                </w:r>
                <w:r w:rsidR="003004BA">
                  <w:rPr>
                    <w:noProof/>
                    <w:webHidden/>
                  </w:rPr>
                  <w:fldChar w:fldCharType="end"/>
                </w:r>
              </w:hyperlink>
            </w:p>
            <w:p w14:paraId="33BFA2B0" w14:textId="1F2D2968" w:rsidR="003004BA" w:rsidRDefault="002C5E9F">
              <w:pPr>
                <w:pStyle w:val="TOC1"/>
                <w:rPr>
                  <w:rFonts w:eastAsiaTheme="minorEastAsia"/>
                  <w:noProof/>
                  <w:lang w:eastAsia="en-AU"/>
                </w:rPr>
              </w:pPr>
              <w:hyperlink w:anchor="_Toc116383713" w:history="1">
                <w:r w:rsidR="003004BA" w:rsidRPr="00EA52DD">
                  <w:rPr>
                    <w:rStyle w:val="Hyperlink"/>
                    <w:noProof/>
                  </w:rPr>
                  <w:t>Next Steps</w:t>
                </w:r>
                <w:r w:rsidR="003004BA">
                  <w:rPr>
                    <w:noProof/>
                    <w:webHidden/>
                  </w:rPr>
                  <w:tab/>
                </w:r>
                <w:r w:rsidR="003004BA">
                  <w:rPr>
                    <w:noProof/>
                    <w:webHidden/>
                  </w:rPr>
                  <w:fldChar w:fldCharType="begin"/>
                </w:r>
                <w:r w:rsidR="003004BA">
                  <w:rPr>
                    <w:noProof/>
                    <w:webHidden/>
                  </w:rPr>
                  <w:instrText xml:space="preserve"> PAGEREF _Toc116383713 \h </w:instrText>
                </w:r>
                <w:r w:rsidR="003004BA">
                  <w:rPr>
                    <w:noProof/>
                    <w:webHidden/>
                  </w:rPr>
                </w:r>
                <w:r w:rsidR="003004BA">
                  <w:rPr>
                    <w:noProof/>
                    <w:webHidden/>
                  </w:rPr>
                  <w:fldChar w:fldCharType="separate"/>
                </w:r>
                <w:r w:rsidR="00AF29EE">
                  <w:rPr>
                    <w:noProof/>
                    <w:webHidden/>
                  </w:rPr>
                  <w:t>15</w:t>
                </w:r>
                <w:r w:rsidR="003004BA">
                  <w:rPr>
                    <w:noProof/>
                    <w:webHidden/>
                  </w:rPr>
                  <w:fldChar w:fldCharType="end"/>
                </w:r>
              </w:hyperlink>
            </w:p>
            <w:p w14:paraId="59D11460" w14:textId="561F3671" w:rsidR="003004BA" w:rsidRDefault="002C5E9F" w:rsidP="0031177A">
              <w:pPr>
                <w:pStyle w:val="TOC2"/>
                <w:rPr>
                  <w:rFonts w:eastAsiaTheme="minorEastAsia"/>
                  <w:noProof/>
                  <w:lang w:eastAsia="en-AU"/>
                </w:rPr>
              </w:pPr>
              <w:hyperlink w:anchor="_Toc116383714" w:history="1">
                <w:r w:rsidR="003004BA" w:rsidRPr="00EA52DD">
                  <w:rPr>
                    <w:rStyle w:val="Hyperlink"/>
                    <w:noProof/>
                  </w:rPr>
                  <w:t>Attachment A: Outputs and business processes of the regulatory charging activity</w:t>
                </w:r>
                <w:r w:rsidR="003004BA">
                  <w:rPr>
                    <w:noProof/>
                    <w:webHidden/>
                  </w:rPr>
                  <w:tab/>
                </w:r>
                <w:r w:rsidR="003004BA">
                  <w:rPr>
                    <w:noProof/>
                    <w:webHidden/>
                  </w:rPr>
                  <w:fldChar w:fldCharType="begin"/>
                </w:r>
                <w:r w:rsidR="003004BA">
                  <w:rPr>
                    <w:noProof/>
                    <w:webHidden/>
                  </w:rPr>
                  <w:instrText xml:space="preserve"> PAGEREF _Toc116383714 \h </w:instrText>
                </w:r>
                <w:r w:rsidR="003004BA">
                  <w:rPr>
                    <w:noProof/>
                    <w:webHidden/>
                  </w:rPr>
                </w:r>
                <w:r w:rsidR="003004BA">
                  <w:rPr>
                    <w:noProof/>
                    <w:webHidden/>
                  </w:rPr>
                  <w:fldChar w:fldCharType="separate"/>
                </w:r>
                <w:r w:rsidR="00AF29EE">
                  <w:rPr>
                    <w:noProof/>
                    <w:webHidden/>
                  </w:rPr>
                  <w:t>16</w:t>
                </w:r>
                <w:r w:rsidR="003004BA">
                  <w:rPr>
                    <w:noProof/>
                    <w:webHidden/>
                  </w:rPr>
                  <w:fldChar w:fldCharType="end"/>
                </w:r>
              </w:hyperlink>
            </w:p>
            <w:p w14:paraId="2E4EDCA1" w14:textId="450789EE" w:rsidR="001A6DD6" w:rsidRDefault="001A6DD6" w:rsidP="00D65CF9">
              <w:r>
                <w:fldChar w:fldCharType="end"/>
              </w:r>
            </w:p>
          </w:sdtContent>
        </w:sdt>
      </w:sdtContent>
    </w:sdt>
    <w:p w14:paraId="72B722DA" w14:textId="77777777" w:rsidR="000B71D0" w:rsidRDefault="000B71D0" w:rsidP="00D7571B">
      <w:pPr>
        <w:sectPr w:rsidR="000B71D0" w:rsidSect="00D65CF9">
          <w:footerReference w:type="default" r:id="rId16"/>
          <w:headerReference w:type="first" r:id="rId17"/>
          <w:footerReference w:type="first" r:id="rId18"/>
          <w:pgSz w:w="11906" w:h="16838"/>
          <w:pgMar w:top="1276" w:right="1440" w:bottom="1440" w:left="1440" w:header="851" w:footer="708" w:gutter="0"/>
          <w:pgNumType w:start="0"/>
          <w:cols w:space="708"/>
          <w:titlePg/>
          <w:docGrid w:linePitch="360"/>
        </w:sectPr>
      </w:pPr>
    </w:p>
    <w:p w14:paraId="2C823B9F" w14:textId="77777777" w:rsidR="001A6DD6" w:rsidRDefault="001A6DD6" w:rsidP="00D7571B">
      <w:pPr>
        <w:pStyle w:val="Heading1"/>
      </w:pPr>
      <w:bookmarkStart w:id="4" w:name="_Toc116383690"/>
      <w:r>
        <w:lastRenderedPageBreak/>
        <w:t>Purpose of this consultation paper</w:t>
      </w:r>
      <w:bookmarkEnd w:id="4"/>
    </w:p>
    <w:p w14:paraId="031432BB" w14:textId="21C045ED" w:rsidR="001A6DD6" w:rsidRDefault="001A6DD6" w:rsidP="00D65CF9">
      <w:r>
        <w:t xml:space="preserve">This consultation paper describes how the Department of Climate Change, Energy, the Environment and Water </w:t>
      </w:r>
      <w:r w:rsidR="007D0A96" w:rsidRPr="00DB39EC">
        <w:t xml:space="preserve">(‘the department’) </w:t>
      </w:r>
      <w:r>
        <w:t xml:space="preserve">proposes to achieve cost recovery for the </w:t>
      </w:r>
      <w:r w:rsidR="00FB63F3">
        <w:t>processed waste</w:t>
      </w:r>
      <w:r>
        <w:t xml:space="preserve"> exports scheme from 1 July 2023. </w:t>
      </w:r>
    </w:p>
    <w:p w14:paraId="38EACFC7" w14:textId="1B3E53AE" w:rsidR="001A6DD6" w:rsidRPr="008A25D0" w:rsidRDefault="001A6DD6" w:rsidP="00D65CF9">
      <w:r>
        <w:t xml:space="preserve">The department seeks feedback on the proposal from all participants and stakeholders in the waste </w:t>
      </w:r>
      <w:r w:rsidR="00DA60F5">
        <w:t xml:space="preserve">and recycling </w:t>
      </w:r>
      <w:r>
        <w:t xml:space="preserve">export sector. All feedback received will be reviewed and considered to inform decisions on how the </w:t>
      </w:r>
      <w:r w:rsidRPr="008A25D0">
        <w:t>proposal may be adapted</w:t>
      </w:r>
      <w:r w:rsidR="006344B5">
        <w:t xml:space="preserve"> and implemented</w:t>
      </w:r>
      <w:r w:rsidRPr="008A25D0">
        <w:t>.</w:t>
      </w:r>
    </w:p>
    <w:p w14:paraId="2331E6B4" w14:textId="70C0ECDD" w:rsidR="001A6DD6" w:rsidRPr="00D65CF9" w:rsidRDefault="001A6DD6" w:rsidP="00D65CF9">
      <w:pPr>
        <w:rPr>
          <w:rStyle w:val="Strong"/>
        </w:rPr>
      </w:pPr>
      <w:r w:rsidRPr="00D65CF9">
        <w:rPr>
          <w:rStyle w:val="Strong"/>
        </w:rPr>
        <w:t xml:space="preserve">The </w:t>
      </w:r>
      <w:r w:rsidR="00472562" w:rsidRPr="00D65CF9">
        <w:rPr>
          <w:rStyle w:val="Strong"/>
        </w:rPr>
        <w:t>department</w:t>
      </w:r>
      <w:r w:rsidRPr="00D65CF9">
        <w:rPr>
          <w:rStyle w:val="Strong"/>
        </w:rPr>
        <w:t xml:space="preserve"> is consulting on two fee </w:t>
      </w:r>
      <w:r w:rsidR="00A0063B" w:rsidRPr="00D65CF9">
        <w:rPr>
          <w:rStyle w:val="Strong"/>
        </w:rPr>
        <w:t>options</w:t>
      </w:r>
      <w:r w:rsidRPr="00D65CF9">
        <w:rPr>
          <w:rStyle w:val="Strong"/>
        </w:rPr>
        <w:t xml:space="preserve"> and a levy model as outlined below. </w:t>
      </w:r>
      <w:r w:rsidR="00472562" w:rsidRPr="00D65CF9">
        <w:rPr>
          <w:rStyle w:val="Strong"/>
        </w:rPr>
        <w:t xml:space="preserve">We </w:t>
      </w:r>
      <w:r w:rsidRPr="00D65CF9">
        <w:rPr>
          <w:rStyle w:val="Strong"/>
        </w:rPr>
        <w:t xml:space="preserve">seek stakeholder feedback by no later </w:t>
      </w:r>
      <w:r w:rsidR="00A0063B" w:rsidRPr="00D65CF9">
        <w:rPr>
          <w:rStyle w:val="Strong"/>
        </w:rPr>
        <w:t>than</w:t>
      </w:r>
      <w:r w:rsidR="003048F9">
        <w:rPr>
          <w:rStyle w:val="Strong"/>
          <w:color w:val="FF0000"/>
        </w:rPr>
        <w:t xml:space="preserve"> </w:t>
      </w:r>
      <w:r w:rsidR="00AA0FC4">
        <w:rPr>
          <w:rStyle w:val="Strong"/>
        </w:rPr>
        <w:t>Monday</w:t>
      </w:r>
      <w:r w:rsidR="003048F9">
        <w:rPr>
          <w:rStyle w:val="Strong"/>
        </w:rPr>
        <w:t xml:space="preserve"> </w:t>
      </w:r>
      <w:r w:rsidR="00CE560D">
        <w:rPr>
          <w:rStyle w:val="Strong"/>
        </w:rPr>
        <w:t>12</w:t>
      </w:r>
      <w:r w:rsidR="003048F9">
        <w:rPr>
          <w:rStyle w:val="Strong"/>
        </w:rPr>
        <w:t xml:space="preserve"> December 2022</w:t>
      </w:r>
      <w:r w:rsidRPr="00D65CF9">
        <w:rPr>
          <w:rStyle w:val="Strong"/>
        </w:rPr>
        <w:t xml:space="preserve">, via our online </w:t>
      </w:r>
      <w:r w:rsidR="008A25D0" w:rsidRPr="00D65CF9">
        <w:rPr>
          <w:rStyle w:val="Strong"/>
        </w:rPr>
        <w:t>portal</w:t>
      </w:r>
      <w:r w:rsidRPr="00D65CF9">
        <w:rPr>
          <w:rStyle w:val="Strong"/>
        </w:rPr>
        <w:t xml:space="preserve">.  </w:t>
      </w:r>
    </w:p>
    <w:p w14:paraId="4C6C56F7" w14:textId="77777777" w:rsidR="001A6DD6" w:rsidRDefault="001A6DD6" w:rsidP="00D7571B">
      <w:pPr>
        <w:pStyle w:val="Heading2"/>
      </w:pPr>
      <w:bookmarkStart w:id="5" w:name="_Toc116383691"/>
      <w:r>
        <w:t>Timeframes for key events</w:t>
      </w:r>
      <w:bookmarkEnd w:id="5"/>
    </w:p>
    <w:p w14:paraId="735117D2" w14:textId="388F1094" w:rsidR="001A6DD6" w:rsidRDefault="001A6DD6" w:rsidP="00D65CF9">
      <w:r>
        <w:t>These timeframes are provisional. They are subject to change, depending on the feedback received, and any subsequent adjustments or other actions that may be required in response to feedback.</w:t>
      </w:r>
    </w:p>
    <w:p w14:paraId="3C590986" w14:textId="0EDABA79" w:rsidR="00A125F3" w:rsidRPr="00C4276B" w:rsidRDefault="00A125F3" w:rsidP="00D65CF9">
      <w:pPr>
        <w:pStyle w:val="Caption"/>
      </w:pPr>
      <w:r w:rsidRPr="00C4276B">
        <w:t xml:space="preserve">Table </w:t>
      </w:r>
      <w:fldSimple w:instr=" SEQ Table \* ARABIC ">
        <w:r w:rsidR="00AF29EE">
          <w:rPr>
            <w:noProof/>
          </w:rPr>
          <w:t>1</w:t>
        </w:r>
      </w:fldSimple>
      <w:r w:rsidRPr="00C4276B">
        <w:t>: Timeframes for implementing cost recovery</w:t>
      </w:r>
    </w:p>
    <w:tbl>
      <w:tblPr>
        <w:tblStyle w:val="GridTable1Light-Accent3"/>
        <w:tblW w:w="0" w:type="auto"/>
        <w:tblLook w:val="04A0" w:firstRow="1" w:lastRow="0" w:firstColumn="1" w:lastColumn="0" w:noHBand="0" w:noVBand="1"/>
      </w:tblPr>
      <w:tblGrid>
        <w:gridCol w:w="6091"/>
        <w:gridCol w:w="2925"/>
      </w:tblGrid>
      <w:tr w:rsidR="001A6DD6" w:rsidRPr="0043291F" w14:paraId="60BB2B50" w14:textId="77777777" w:rsidTr="00450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FBBF98" w:themeFill="accent3" w:themeFillTint="40"/>
          </w:tcPr>
          <w:p w14:paraId="090BC82E" w14:textId="77777777" w:rsidR="001A6DD6" w:rsidRPr="00D7571B" w:rsidRDefault="001A6DD6" w:rsidP="00D65CF9">
            <w:pPr>
              <w:pStyle w:val="TableSpacing"/>
            </w:pPr>
            <w:r w:rsidRPr="0043291F">
              <w:t>Event</w:t>
            </w:r>
          </w:p>
        </w:tc>
        <w:tc>
          <w:tcPr>
            <w:tcW w:w="2925" w:type="dxa"/>
            <w:shd w:val="clear" w:color="auto" w:fill="FBBF98" w:themeFill="accent3" w:themeFillTint="40"/>
          </w:tcPr>
          <w:p w14:paraId="240B4DFA" w14:textId="77777777" w:rsidR="001A6DD6" w:rsidRPr="00D7571B" w:rsidRDefault="001A6DD6" w:rsidP="00D65CF9">
            <w:pPr>
              <w:pStyle w:val="TableSpacing"/>
              <w:cnfStyle w:val="100000000000" w:firstRow="1" w:lastRow="0" w:firstColumn="0" w:lastColumn="0" w:oddVBand="0" w:evenVBand="0" w:oddHBand="0" w:evenHBand="0" w:firstRowFirstColumn="0" w:firstRowLastColumn="0" w:lastRowFirstColumn="0" w:lastRowLastColumn="0"/>
            </w:pPr>
            <w:r w:rsidRPr="0043291F">
              <w:t>Timeframe</w:t>
            </w:r>
          </w:p>
        </w:tc>
      </w:tr>
      <w:tr w:rsidR="001A6DD6" w:rsidRPr="0043291F" w14:paraId="75F1D1C7"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07797E72" w14:textId="269B6DF4" w:rsidR="00A0063B" w:rsidRPr="00D65CF9" w:rsidRDefault="001A6DD6" w:rsidP="00D65CF9">
            <w:pPr>
              <w:pStyle w:val="TableSpacing"/>
              <w:rPr>
                <w:b w:val="0"/>
              </w:rPr>
            </w:pPr>
            <w:r w:rsidRPr="00BF7506">
              <w:t>Consultation paper published</w:t>
            </w:r>
            <w:r w:rsidR="007D0A96" w:rsidRPr="00BF7506">
              <w:t xml:space="preserve"> and feedback period begins</w:t>
            </w:r>
          </w:p>
        </w:tc>
        <w:tc>
          <w:tcPr>
            <w:tcW w:w="2925" w:type="dxa"/>
          </w:tcPr>
          <w:p w14:paraId="5AF4A1D8" w14:textId="05AFCD5E" w:rsidR="001A6DD6" w:rsidRPr="0043291F" w:rsidRDefault="00850F21" w:rsidP="00D65CF9">
            <w:pPr>
              <w:pStyle w:val="TableSpacing"/>
              <w:jc w:val="right"/>
              <w:cnfStyle w:val="000000000000" w:firstRow="0" w:lastRow="0" w:firstColumn="0" w:lastColumn="0" w:oddVBand="0" w:evenVBand="0" w:oddHBand="0" w:evenHBand="0" w:firstRowFirstColumn="0" w:firstRowLastColumn="0" w:lastRowFirstColumn="0" w:lastRowLastColumn="0"/>
            </w:pPr>
            <w:r>
              <w:t>4 November</w:t>
            </w:r>
            <w:r w:rsidR="00A0063B">
              <w:t xml:space="preserve"> </w:t>
            </w:r>
            <w:r w:rsidR="0043291F">
              <w:t>2022</w:t>
            </w:r>
          </w:p>
        </w:tc>
      </w:tr>
      <w:tr w:rsidR="001A6DD6" w:rsidRPr="0043291F" w14:paraId="02F54AF1"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5909B83A" w14:textId="1C65BD3A" w:rsidR="00A0063B" w:rsidRPr="00D65CF9" w:rsidRDefault="001A6DD6" w:rsidP="00D65CF9">
            <w:pPr>
              <w:pStyle w:val="TableSpacing"/>
              <w:rPr>
                <w:b w:val="0"/>
              </w:rPr>
            </w:pPr>
            <w:r w:rsidRPr="00BF7506">
              <w:t>Consultation feedback period closes</w:t>
            </w:r>
          </w:p>
        </w:tc>
        <w:tc>
          <w:tcPr>
            <w:tcW w:w="2925" w:type="dxa"/>
          </w:tcPr>
          <w:p w14:paraId="64ED6980" w14:textId="56A2C768" w:rsidR="001A6DD6" w:rsidRPr="0043291F" w:rsidRDefault="00CE560D" w:rsidP="00D65CF9">
            <w:pPr>
              <w:pStyle w:val="TableSpacing"/>
              <w:jc w:val="right"/>
              <w:cnfStyle w:val="000000000000" w:firstRow="0" w:lastRow="0" w:firstColumn="0" w:lastColumn="0" w:oddVBand="0" w:evenVBand="0" w:oddHBand="0" w:evenHBand="0" w:firstRowFirstColumn="0" w:firstRowLastColumn="0" w:lastRowFirstColumn="0" w:lastRowLastColumn="0"/>
            </w:pPr>
            <w:r>
              <w:t>12</w:t>
            </w:r>
            <w:r w:rsidR="00A0063B" w:rsidRPr="009E6E26">
              <w:t xml:space="preserve"> December</w:t>
            </w:r>
            <w:r w:rsidR="002633FE" w:rsidRPr="009E6E26">
              <w:t xml:space="preserve"> 2022</w:t>
            </w:r>
          </w:p>
        </w:tc>
      </w:tr>
      <w:tr w:rsidR="00763689" w:rsidRPr="0043291F" w14:paraId="79D7ED64" w14:textId="77777777" w:rsidTr="0045057E">
        <w:trPr>
          <w:trHeight w:val="547"/>
        </w:trPr>
        <w:tc>
          <w:tcPr>
            <w:cnfStyle w:val="001000000000" w:firstRow="0" w:lastRow="0" w:firstColumn="1" w:lastColumn="0" w:oddVBand="0" w:evenVBand="0" w:oddHBand="0" w:evenHBand="0" w:firstRowFirstColumn="0" w:firstRowLastColumn="0" w:lastRowFirstColumn="0" w:lastRowLastColumn="0"/>
            <w:tcW w:w="6091" w:type="dxa"/>
          </w:tcPr>
          <w:p w14:paraId="1748A132" w14:textId="5197128B" w:rsidR="00A0063B" w:rsidRPr="00D65CF9" w:rsidRDefault="00763689" w:rsidP="00D65CF9">
            <w:pPr>
              <w:pStyle w:val="TableSpacing"/>
              <w:rPr>
                <w:b w:val="0"/>
              </w:rPr>
            </w:pPr>
            <w:r w:rsidRPr="00BF7506">
              <w:t>Feedback is reviewed, adjustments considered</w:t>
            </w:r>
            <w:r>
              <w:t xml:space="preserve"> </w:t>
            </w:r>
            <w:r w:rsidRPr="00BF7506">
              <w:t xml:space="preserve">and </w:t>
            </w:r>
            <w:r w:rsidR="007D0A96" w:rsidRPr="00BF7506">
              <w:t xml:space="preserve">the </w:t>
            </w:r>
            <w:r w:rsidRPr="00BF7506">
              <w:t xml:space="preserve">department drafts Cost Recovery Implementation Statement </w:t>
            </w:r>
          </w:p>
        </w:tc>
        <w:tc>
          <w:tcPr>
            <w:tcW w:w="2925" w:type="dxa"/>
          </w:tcPr>
          <w:p w14:paraId="334A4525" w14:textId="234A57F6" w:rsidR="00763689" w:rsidRDefault="00763689" w:rsidP="00D65CF9">
            <w:pPr>
              <w:pStyle w:val="TableSpacing"/>
              <w:jc w:val="right"/>
              <w:cnfStyle w:val="000000000000" w:firstRow="0" w:lastRow="0" w:firstColumn="0" w:lastColumn="0" w:oddVBand="0" w:evenVBand="0" w:oddHBand="0" w:evenHBand="0" w:firstRowFirstColumn="0" w:firstRowLastColumn="0" w:lastRowFirstColumn="0" w:lastRowLastColumn="0"/>
            </w:pPr>
            <w:r>
              <w:t>December 202</w:t>
            </w:r>
            <w:r w:rsidR="00850F21">
              <w:t>2</w:t>
            </w:r>
            <w:r>
              <w:t xml:space="preserve"> –</w:t>
            </w:r>
          </w:p>
          <w:p w14:paraId="585CC3FF" w14:textId="7835C74C" w:rsidR="00763689" w:rsidRPr="0043291F" w:rsidRDefault="00763689" w:rsidP="00D65CF9">
            <w:pPr>
              <w:pStyle w:val="TableSpacing"/>
              <w:jc w:val="right"/>
              <w:cnfStyle w:val="000000000000" w:firstRow="0" w:lastRow="0" w:firstColumn="0" w:lastColumn="0" w:oddVBand="0" w:evenVBand="0" w:oddHBand="0" w:evenHBand="0" w:firstRowFirstColumn="0" w:firstRowLastColumn="0" w:lastRowFirstColumn="0" w:lastRowLastColumn="0"/>
            </w:pPr>
            <w:r>
              <w:t>January 2023</w:t>
            </w:r>
          </w:p>
        </w:tc>
      </w:tr>
      <w:tr w:rsidR="001A6DD6" w:rsidRPr="0043291F" w14:paraId="7DB236EE"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0DE61F37" w14:textId="2D439E51" w:rsidR="00A0063B" w:rsidRPr="00D65CF9" w:rsidRDefault="001A6DD6" w:rsidP="00D65CF9">
            <w:pPr>
              <w:pStyle w:val="TableSpacing"/>
              <w:rPr>
                <w:b w:val="0"/>
              </w:rPr>
            </w:pPr>
            <w:r w:rsidRPr="00BF7506">
              <w:t>Ministerial approvals of Cost Recovery Implementation Statement</w:t>
            </w:r>
            <w:r w:rsidR="007D0A96" w:rsidRPr="00BF7506">
              <w:t xml:space="preserve"> (CRIS)</w:t>
            </w:r>
          </w:p>
        </w:tc>
        <w:tc>
          <w:tcPr>
            <w:tcW w:w="2925" w:type="dxa"/>
          </w:tcPr>
          <w:p w14:paraId="504838A7" w14:textId="1B34D793" w:rsidR="001A6DD6" w:rsidRPr="0043291F" w:rsidRDefault="0074615C" w:rsidP="00D65CF9">
            <w:pPr>
              <w:pStyle w:val="TableSpacing"/>
              <w:jc w:val="right"/>
              <w:cnfStyle w:val="000000000000" w:firstRow="0" w:lastRow="0" w:firstColumn="0" w:lastColumn="0" w:oddVBand="0" w:evenVBand="0" w:oddHBand="0" w:evenHBand="0" w:firstRowFirstColumn="0" w:firstRowLastColumn="0" w:lastRowFirstColumn="0" w:lastRowLastColumn="0"/>
            </w:pPr>
            <w:r>
              <w:t>February 2023</w:t>
            </w:r>
          </w:p>
        </w:tc>
      </w:tr>
      <w:tr w:rsidR="001A6DD6" w:rsidRPr="0043291F" w14:paraId="6CB431C0"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38F2479D" w14:textId="3254823D" w:rsidR="00A0063B" w:rsidRPr="00D65CF9" w:rsidRDefault="001A6DD6" w:rsidP="00D65CF9">
            <w:pPr>
              <w:pStyle w:val="TableSpacing"/>
              <w:rPr>
                <w:b w:val="0"/>
              </w:rPr>
            </w:pPr>
            <w:r w:rsidRPr="00BF7506">
              <w:t>Publication of C</w:t>
            </w:r>
            <w:r w:rsidR="007D0A96" w:rsidRPr="00BF7506">
              <w:t>RIS</w:t>
            </w:r>
          </w:p>
        </w:tc>
        <w:tc>
          <w:tcPr>
            <w:tcW w:w="2925" w:type="dxa"/>
          </w:tcPr>
          <w:p w14:paraId="41B23551" w14:textId="50AF6CBA" w:rsidR="001A6DD6" w:rsidRPr="0043291F" w:rsidRDefault="00B6035F" w:rsidP="00D65CF9">
            <w:pPr>
              <w:pStyle w:val="TableSpacing"/>
              <w:jc w:val="right"/>
              <w:cnfStyle w:val="000000000000" w:firstRow="0" w:lastRow="0" w:firstColumn="0" w:lastColumn="0" w:oddVBand="0" w:evenVBand="0" w:oddHBand="0" w:evenHBand="0" w:firstRowFirstColumn="0" w:firstRowLastColumn="0" w:lastRowFirstColumn="0" w:lastRowLastColumn="0"/>
            </w:pPr>
            <w:r>
              <w:t>March 2023</w:t>
            </w:r>
          </w:p>
        </w:tc>
      </w:tr>
      <w:tr w:rsidR="001A6DD6" w:rsidRPr="0043291F" w14:paraId="219E20F0"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57E57DF9" w14:textId="647A5D56" w:rsidR="00A0063B" w:rsidRPr="00D65CF9" w:rsidRDefault="007D0A96" w:rsidP="00D65CF9">
            <w:pPr>
              <w:pStyle w:val="TableSpacing"/>
              <w:rPr>
                <w:b w:val="0"/>
              </w:rPr>
            </w:pPr>
            <w:r w:rsidRPr="00BF7506">
              <w:t>Amendment of the r</w:t>
            </w:r>
            <w:r w:rsidR="00BB178E" w:rsidRPr="00BF7506">
              <w:t>egulation</w:t>
            </w:r>
            <w:r w:rsidRPr="00BF7506">
              <w:t>s</w:t>
            </w:r>
            <w:r w:rsidR="00BB178E" w:rsidRPr="00BF7506">
              <w:t xml:space="preserve"> and </w:t>
            </w:r>
            <w:r w:rsidRPr="00BF7506">
              <w:t>r</w:t>
            </w:r>
            <w:r w:rsidR="00BB178E" w:rsidRPr="00BF7506">
              <w:t>ules</w:t>
            </w:r>
            <w:r w:rsidR="001A6DD6" w:rsidRPr="00BF7506">
              <w:t xml:space="preserve"> </w:t>
            </w:r>
            <w:r w:rsidRPr="00BF7506">
              <w:t xml:space="preserve">are </w:t>
            </w:r>
            <w:r w:rsidR="00BB178E" w:rsidRPr="00BF7506">
              <w:t>made</w:t>
            </w:r>
          </w:p>
        </w:tc>
        <w:tc>
          <w:tcPr>
            <w:tcW w:w="2925" w:type="dxa"/>
          </w:tcPr>
          <w:p w14:paraId="1A1E909A" w14:textId="7B90F879" w:rsidR="001A6DD6" w:rsidRPr="0043291F" w:rsidRDefault="00B6035F" w:rsidP="00D65CF9">
            <w:pPr>
              <w:pStyle w:val="TableSpacing"/>
              <w:jc w:val="right"/>
              <w:cnfStyle w:val="000000000000" w:firstRow="0" w:lastRow="0" w:firstColumn="0" w:lastColumn="0" w:oddVBand="0" w:evenVBand="0" w:oddHBand="0" w:evenHBand="0" w:firstRowFirstColumn="0" w:firstRowLastColumn="0" w:lastRowFirstColumn="0" w:lastRowLastColumn="0"/>
            </w:pPr>
            <w:r>
              <w:t>March 2023</w:t>
            </w:r>
          </w:p>
        </w:tc>
      </w:tr>
      <w:tr w:rsidR="001A6DD6" w:rsidRPr="0043291F" w14:paraId="016FDA77" w14:textId="77777777" w:rsidTr="0045057E">
        <w:tc>
          <w:tcPr>
            <w:cnfStyle w:val="001000000000" w:firstRow="0" w:lastRow="0" w:firstColumn="1" w:lastColumn="0" w:oddVBand="0" w:evenVBand="0" w:oddHBand="0" w:evenHBand="0" w:firstRowFirstColumn="0" w:firstRowLastColumn="0" w:lastRowFirstColumn="0" w:lastRowLastColumn="0"/>
            <w:tcW w:w="6091" w:type="dxa"/>
          </w:tcPr>
          <w:p w14:paraId="4A626B7B" w14:textId="27358CAD" w:rsidR="00A0063B" w:rsidRPr="00D65CF9" w:rsidRDefault="001A6DD6" w:rsidP="00D65CF9">
            <w:pPr>
              <w:pStyle w:val="TableSpacing"/>
              <w:rPr>
                <w:b w:val="0"/>
              </w:rPr>
            </w:pPr>
            <w:r w:rsidRPr="00BF7506">
              <w:t>New fees and charges schedule comes into effect</w:t>
            </w:r>
          </w:p>
        </w:tc>
        <w:tc>
          <w:tcPr>
            <w:tcW w:w="2925" w:type="dxa"/>
          </w:tcPr>
          <w:p w14:paraId="3CC234C9" w14:textId="77777777" w:rsidR="001A6DD6" w:rsidRPr="0043291F" w:rsidRDefault="001A6DD6"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43291F">
              <w:t>1 July 2023</w:t>
            </w:r>
          </w:p>
        </w:tc>
      </w:tr>
    </w:tbl>
    <w:p w14:paraId="580E251B" w14:textId="77777777" w:rsidR="001A6DD6" w:rsidRPr="0043291F" w:rsidRDefault="001A6DD6" w:rsidP="00D65CF9">
      <w:pPr>
        <w:pStyle w:val="Heading1"/>
      </w:pPr>
      <w:bookmarkStart w:id="6" w:name="_How_to_submit"/>
      <w:bookmarkStart w:id="7" w:name="_Toc116383692"/>
      <w:bookmarkEnd w:id="6"/>
      <w:r w:rsidRPr="0043291F">
        <w:t>How to submit feedback</w:t>
      </w:r>
      <w:bookmarkEnd w:id="7"/>
    </w:p>
    <w:p w14:paraId="25A102B7" w14:textId="4D379864" w:rsidR="001A6DD6" w:rsidRDefault="001A6DD6" w:rsidP="00D65CF9">
      <w:r w:rsidRPr="0043291F">
        <w:t xml:space="preserve">If you work in </w:t>
      </w:r>
      <w:r w:rsidR="006344B5">
        <w:t xml:space="preserve">the </w:t>
      </w:r>
      <w:r w:rsidRPr="0043291F">
        <w:t xml:space="preserve">waste and recycling exports sector, the department welcomes your input on the proposed cost recovery fee </w:t>
      </w:r>
      <w:r w:rsidR="004248AC">
        <w:t>options</w:t>
      </w:r>
      <w:r w:rsidRPr="0043291F">
        <w:t xml:space="preserve"> and levy model. Should you wish to provide feedback, please follow the link below that will take you to the department’s Consultation page.</w:t>
      </w:r>
    </w:p>
    <w:p w14:paraId="578243CF" w14:textId="5CA8C4B4" w:rsidR="001A6DD6" w:rsidRDefault="002C5E9F" w:rsidP="00D65CF9">
      <w:pPr>
        <w:jc w:val="center"/>
      </w:pPr>
      <w:hyperlink r:id="rId19" w:history="1">
        <w:r w:rsidRPr="002C5E9F">
          <w:rPr>
            <w:rStyle w:val="Hyperlink"/>
          </w:rPr>
          <w:t>https://haveyoursay.agriculture.gov.au/waste-export-cost-recovery-consultation</w:t>
        </w:r>
      </w:hyperlink>
    </w:p>
    <w:p w14:paraId="5DBB8DF0" w14:textId="79420FD5" w:rsidR="001A6DD6" w:rsidRDefault="001A6DD6" w:rsidP="00D65CF9">
      <w:r w:rsidRPr="0041211D">
        <w:t xml:space="preserve">You will be asked </w:t>
      </w:r>
      <w:r w:rsidRPr="006E214B">
        <w:t>to complete a short survey</w:t>
      </w:r>
      <w:r w:rsidRPr="0041211D">
        <w:t xml:space="preserve"> in</w:t>
      </w:r>
      <w:r>
        <w:t xml:space="preserve"> response to this paper. Within this survey you will be asked the following questions:</w:t>
      </w:r>
    </w:p>
    <w:p w14:paraId="646CFDE4" w14:textId="77777777" w:rsidR="00A331FD" w:rsidRPr="00691F2F" w:rsidRDefault="00A331FD" w:rsidP="00D65CF9">
      <w:pPr>
        <w:shd w:val="clear" w:color="auto" w:fill="E2F1EE"/>
        <w:rPr>
          <w:rStyle w:val="Emphasis"/>
        </w:rPr>
      </w:pPr>
      <w:r w:rsidRPr="00691F2F">
        <w:rPr>
          <w:rStyle w:val="Emphasis"/>
        </w:rPr>
        <w:t>Survey Questions</w:t>
      </w:r>
    </w:p>
    <w:p w14:paraId="44550904" w14:textId="77777777" w:rsidR="00A331FD" w:rsidRDefault="00A331FD" w:rsidP="00D65CF9">
      <w:pPr>
        <w:pStyle w:val="Bulletpoints"/>
        <w:shd w:val="clear" w:color="auto" w:fill="E2F1EE"/>
        <w:ind w:left="357" w:hanging="357"/>
      </w:pPr>
      <w:r>
        <w:t>What will these proposals mean for you and your business or industry? What general feedback do you have on what is proposed?</w:t>
      </w:r>
    </w:p>
    <w:p w14:paraId="0D47BB98" w14:textId="77777777" w:rsidR="00A331FD" w:rsidRPr="00F1790F" w:rsidRDefault="00A331FD" w:rsidP="00D65CF9">
      <w:pPr>
        <w:pStyle w:val="Bulletpoints"/>
        <w:shd w:val="clear" w:color="auto" w:fill="E2F1EE"/>
        <w:ind w:left="357" w:hanging="357"/>
      </w:pPr>
      <w:r>
        <w:t>Which</w:t>
      </w:r>
      <w:r w:rsidRPr="00F1790F">
        <w:t xml:space="preserve"> </w:t>
      </w:r>
      <w:r>
        <w:t>f</w:t>
      </w:r>
      <w:r w:rsidRPr="00F1790F">
        <w:t xml:space="preserve">ee </w:t>
      </w:r>
      <w:r>
        <w:t>option</w:t>
      </w:r>
      <w:r w:rsidRPr="00F1790F">
        <w:t xml:space="preserve"> </w:t>
      </w:r>
      <w:r>
        <w:t>do you prefer</w:t>
      </w:r>
      <w:r w:rsidRPr="00F1790F">
        <w:t>, and why?</w:t>
      </w:r>
    </w:p>
    <w:p w14:paraId="13F4613B" w14:textId="77777777" w:rsidR="00A331FD" w:rsidRPr="00F1790F" w:rsidRDefault="00A331FD" w:rsidP="00D65CF9">
      <w:pPr>
        <w:pStyle w:val="Bulletpoints"/>
        <w:shd w:val="clear" w:color="auto" w:fill="E2F1EE"/>
        <w:ind w:left="357" w:hanging="357"/>
      </w:pPr>
      <w:r w:rsidRPr="00F1790F">
        <w:lastRenderedPageBreak/>
        <w:t>Do you have any feedback on the proposed levy model?</w:t>
      </w:r>
    </w:p>
    <w:p w14:paraId="2142D1F4" w14:textId="4AB9BBB0" w:rsidR="00A331FD" w:rsidRPr="002414E2" w:rsidRDefault="00A331FD" w:rsidP="00D65CF9">
      <w:pPr>
        <w:pStyle w:val="Bulletpoints"/>
        <w:shd w:val="clear" w:color="auto" w:fill="E2F1EE"/>
        <w:ind w:left="357" w:hanging="357"/>
      </w:pPr>
      <w:r w:rsidRPr="00F1790F">
        <w:t xml:space="preserve">Do you have any comments on the forecasts and assumptions we make, for example, that the waste export </w:t>
      </w:r>
      <w:r w:rsidR="00DA60F5">
        <w:t xml:space="preserve">licencing and declaration scheme </w:t>
      </w:r>
      <w:r w:rsidRPr="00F1790F">
        <w:t>will reduce exports of regulated waste by about 40%.</w:t>
      </w:r>
      <w:r>
        <w:t xml:space="preserve"> Does this align with your experience or view of future export activity?</w:t>
      </w:r>
    </w:p>
    <w:p w14:paraId="6C48384D" w14:textId="77777777" w:rsidR="00A331FD" w:rsidRDefault="00A331FD" w:rsidP="00D65CF9">
      <w:pPr>
        <w:pStyle w:val="Bulletpoints"/>
        <w:shd w:val="clear" w:color="auto" w:fill="E2F1EE"/>
        <w:ind w:left="357" w:hanging="357"/>
      </w:pPr>
      <w:r w:rsidRPr="001F7DED">
        <w:t>Are there alternate price structure</w:t>
      </w:r>
      <w:r>
        <w:t>s</w:t>
      </w:r>
      <w:r w:rsidRPr="001F7DED">
        <w:t xml:space="preserve"> or charge points you would like to propose?</w:t>
      </w:r>
    </w:p>
    <w:p w14:paraId="5D93177F" w14:textId="765B00EC" w:rsidR="00A331FD" w:rsidRDefault="00A331FD" w:rsidP="00D65CF9">
      <w:pPr>
        <w:pStyle w:val="Bulletpoints"/>
        <w:shd w:val="clear" w:color="auto" w:fill="E2F1EE"/>
        <w:ind w:left="357" w:hanging="357"/>
      </w:pPr>
      <w:r w:rsidRPr="00F1790F">
        <w:t>Are there other issues you would like to raise?</w:t>
      </w:r>
    </w:p>
    <w:p w14:paraId="31078037" w14:textId="5856B423" w:rsidR="001A6DD6" w:rsidRDefault="001A6DD6" w:rsidP="00D65CF9">
      <w:r>
        <w:t xml:space="preserve">You may also attach a detailed written submission. If you have any issues with the submission of this form, please contact </w:t>
      </w:r>
      <w:hyperlink r:id="rId20" w:history="1">
        <w:r w:rsidR="00B11BB1" w:rsidRPr="00EE4254">
          <w:rPr>
            <w:rStyle w:val="Hyperlink"/>
          </w:rPr>
          <w:t>ExportWaste@awe.gov.au</w:t>
        </w:r>
      </w:hyperlink>
      <w:r>
        <w:t>.</w:t>
      </w:r>
    </w:p>
    <w:p w14:paraId="185BCABA" w14:textId="3F41057E" w:rsidR="001A6DD6" w:rsidRDefault="001A6DD6" w:rsidP="00D65CF9">
      <w:r>
        <w:t xml:space="preserve">Interested parties can also email </w:t>
      </w:r>
      <w:hyperlink r:id="rId21" w:history="1">
        <w:r w:rsidR="002414E2" w:rsidRPr="00EE4254">
          <w:rPr>
            <w:rStyle w:val="Hyperlink"/>
          </w:rPr>
          <w:t>ExportWaste@awe.gov.au</w:t>
        </w:r>
      </w:hyperlink>
      <w:r w:rsidR="002414E2">
        <w:rPr>
          <w:rStyle w:val="Hyperlink"/>
        </w:rPr>
        <w:t xml:space="preserve"> </w:t>
      </w:r>
      <w:r>
        <w:t xml:space="preserve">with </w:t>
      </w:r>
      <w:r w:rsidR="001D17D1">
        <w:t xml:space="preserve">questions </w:t>
      </w:r>
      <w:r>
        <w:t xml:space="preserve">about this consultation paper or </w:t>
      </w:r>
      <w:r w:rsidR="00DD2819">
        <w:t>about the</w:t>
      </w:r>
      <w:r w:rsidR="006344B5">
        <w:t xml:space="preserve"> cost recovery implementation process</w:t>
      </w:r>
      <w:r>
        <w:t>.</w:t>
      </w:r>
    </w:p>
    <w:p w14:paraId="1ADCC77F" w14:textId="009439CA" w:rsidR="001A6DD6" w:rsidRDefault="001A6DD6" w:rsidP="00D65CF9">
      <w:r>
        <w:t xml:space="preserve">The survey and </w:t>
      </w:r>
      <w:r w:rsidR="006344B5">
        <w:t xml:space="preserve">written </w:t>
      </w:r>
      <w:r>
        <w:t xml:space="preserve">submissions will be accepted until close of business </w:t>
      </w:r>
      <w:r w:rsidR="00045D1D">
        <w:t xml:space="preserve">Monday </w:t>
      </w:r>
      <w:r w:rsidR="00CE560D">
        <w:t>12</w:t>
      </w:r>
      <w:r w:rsidR="00045D1D">
        <w:t> </w:t>
      </w:r>
      <w:r w:rsidR="00A0063B" w:rsidRPr="00BF09D3">
        <w:t>December</w:t>
      </w:r>
      <w:r w:rsidR="00CE560D">
        <w:t> </w:t>
      </w:r>
      <w:r w:rsidR="00B11BB1" w:rsidRPr="00BF09D3">
        <w:t>2022</w:t>
      </w:r>
      <w:r w:rsidR="003A47D1" w:rsidRPr="00BF09D3">
        <w:t xml:space="preserve"> </w:t>
      </w:r>
      <w:r w:rsidR="003A47D1">
        <w:t>(AEDT)</w:t>
      </w:r>
      <w:r>
        <w:t xml:space="preserve">. </w:t>
      </w:r>
    </w:p>
    <w:p w14:paraId="3D3469BD" w14:textId="3C7C7CE1" w:rsidR="001A6DD6" w:rsidRDefault="001D17D1" w:rsidP="00D65CF9">
      <w:r>
        <w:t>T</w:t>
      </w:r>
      <w:r w:rsidR="001A6DD6" w:rsidRPr="006E214B">
        <w:t xml:space="preserve">he </w:t>
      </w:r>
      <w:r w:rsidR="00D91891">
        <w:t>department</w:t>
      </w:r>
      <w:r w:rsidR="001A6DD6" w:rsidRPr="006E214B">
        <w:t xml:space="preserve"> intends to publish a summary of the </w:t>
      </w:r>
      <w:r w:rsidR="00390B0F">
        <w:t xml:space="preserve">issues raised in the </w:t>
      </w:r>
      <w:r w:rsidR="001A6DD6" w:rsidRPr="006E214B">
        <w:t xml:space="preserve">submissions. If you do not wish your submission to be published in full or in part, please indicate this in your response. </w:t>
      </w:r>
    </w:p>
    <w:p w14:paraId="2BDB3216" w14:textId="77777777" w:rsidR="001A6DD6" w:rsidRDefault="001A6DD6" w:rsidP="00D7571B">
      <w:pPr>
        <w:pStyle w:val="Heading1"/>
      </w:pPr>
      <w:bookmarkStart w:id="8" w:name="_Toc116383693"/>
      <w:r>
        <w:t>Introduction</w:t>
      </w:r>
      <w:bookmarkEnd w:id="8"/>
    </w:p>
    <w:p w14:paraId="131D5288" w14:textId="214B5B05" w:rsidR="001A6DD6" w:rsidRDefault="00111E1A" w:rsidP="00D7571B">
      <w:pPr>
        <w:pStyle w:val="Heading2"/>
      </w:pPr>
      <w:bookmarkStart w:id="9" w:name="_Toc116383694"/>
      <w:r>
        <w:t>Regulation of w</w:t>
      </w:r>
      <w:r w:rsidR="001A6DD6">
        <w:t xml:space="preserve">aste </w:t>
      </w:r>
      <w:r>
        <w:t>e</w:t>
      </w:r>
      <w:r w:rsidR="001A6DD6">
        <w:t>xport</w:t>
      </w:r>
      <w:r>
        <w:t>s</w:t>
      </w:r>
      <w:bookmarkEnd w:id="9"/>
      <w:r w:rsidR="001A6DD6">
        <w:t xml:space="preserve"> </w:t>
      </w:r>
    </w:p>
    <w:p w14:paraId="369A602D" w14:textId="1EC3A13C" w:rsidR="001A6DD6" w:rsidRPr="00D7571B" w:rsidRDefault="001A6DD6" w:rsidP="00D65CF9">
      <w:r w:rsidRPr="00D7571B">
        <w:t>In March 2020, the former Council of Australian Governments (COAG) agreed to regulate the export of waste plastic, paper, glass and tyres while building Australia’s capacity to generate high value recycled commodities. These unprocessed waste materials have the potential to cause harm to human health and the environment in the importing countries. Transforming waste material into high value materials will create jobs, build a more sophisticated industry, and provide positive outcomes for the environment and community wellbeing.</w:t>
      </w:r>
    </w:p>
    <w:p w14:paraId="521F77E0" w14:textId="1E79BC64" w:rsidR="001A6DD6" w:rsidRDefault="001A6DD6" w:rsidP="00D65CF9">
      <w:r>
        <w:t xml:space="preserve">The </w:t>
      </w:r>
      <w:r w:rsidRPr="00441020">
        <w:rPr>
          <w:i/>
          <w:iCs/>
        </w:rPr>
        <w:t>Recycling and Waste Reduction Act 2020</w:t>
      </w:r>
      <w:r w:rsidRPr="00A125F3">
        <w:t xml:space="preserve"> (the </w:t>
      </w:r>
      <w:proofErr w:type="spellStart"/>
      <w:r w:rsidRPr="00A125F3">
        <w:t>RaWR</w:t>
      </w:r>
      <w:proofErr w:type="spellEnd"/>
      <w:r w:rsidRPr="00A125F3">
        <w:t xml:space="preserve"> Act), </w:t>
      </w:r>
      <w:r w:rsidRPr="00441020">
        <w:rPr>
          <w:i/>
          <w:iCs/>
        </w:rPr>
        <w:t>Recycling and Waste Reduction Charges (Customs) Act 2020; Recycling and Waste Reduction Charges (Excise) Act 2020</w:t>
      </w:r>
      <w:r>
        <w:t xml:space="preserve">, and the </w:t>
      </w:r>
      <w:r w:rsidRPr="00441020">
        <w:rPr>
          <w:i/>
          <w:iCs/>
        </w:rPr>
        <w:t>Recycling and Waste Reduction Charges (General) Act 2020</w:t>
      </w:r>
      <w:r w:rsidR="00D91891">
        <w:t xml:space="preserve"> were passed in 2020</w:t>
      </w:r>
      <w:r>
        <w:t>. These Acts</w:t>
      </w:r>
      <w:r w:rsidRPr="00442CBE">
        <w:t xml:space="preserve"> create</w:t>
      </w:r>
      <w:r>
        <w:t xml:space="preserve"> a framework to improve recycling and waste management in Australia by regulating waste exports and incorporating existing regulation such as product stewardship.</w:t>
      </w:r>
    </w:p>
    <w:p w14:paraId="5F20E99B" w14:textId="5932C083" w:rsidR="001A6DD6" w:rsidRDefault="001A6DD6" w:rsidP="00D65CF9">
      <w:r>
        <w:t>Under this framework, a</w:t>
      </w:r>
      <w:r w:rsidRPr="00B26208">
        <w:t xml:space="preserve"> phased approach to regulate </w:t>
      </w:r>
      <w:r w:rsidR="00FB63F3">
        <w:t xml:space="preserve">processed </w:t>
      </w:r>
      <w:r>
        <w:t>waste</w:t>
      </w:r>
      <w:r w:rsidRPr="00B26208">
        <w:t xml:space="preserve"> materials</w:t>
      </w:r>
      <w:r>
        <w:t xml:space="preserve"> commenced. </w:t>
      </w:r>
      <w:r w:rsidR="006758FF">
        <w:br/>
      </w:r>
      <w:r>
        <w:t xml:space="preserve">To date, all materials </w:t>
      </w:r>
      <w:r w:rsidR="001D17D1">
        <w:t xml:space="preserve">agreed by COAG </w:t>
      </w:r>
      <w:r>
        <w:t>are regulated except for mixed paper</w:t>
      </w:r>
      <w:r w:rsidR="001D17D1">
        <w:t xml:space="preserve"> and cardboard</w:t>
      </w:r>
      <w:r>
        <w:t xml:space="preserve">, which will be regulated from July 2024. </w:t>
      </w:r>
      <w:r w:rsidRPr="00B26208">
        <w:t xml:space="preserve"> </w:t>
      </w:r>
    </w:p>
    <w:p w14:paraId="6872BE33" w14:textId="77777777" w:rsidR="006758FF" w:rsidRDefault="006758FF">
      <w:pPr>
        <w:spacing w:after="160"/>
        <w:rPr>
          <w:rFonts w:asciiTheme="majorHAnsi" w:eastAsiaTheme="majorEastAsia" w:hAnsiTheme="majorHAnsi" w:cstheme="majorBidi"/>
          <w:color w:val="083A42" w:themeColor="text2"/>
          <w:sz w:val="32"/>
          <w:szCs w:val="40"/>
        </w:rPr>
      </w:pPr>
      <w:r>
        <w:br w:type="page"/>
      </w:r>
    </w:p>
    <w:p w14:paraId="0CAEC61D" w14:textId="7D4202CF" w:rsidR="001A6DD6" w:rsidRDefault="001A6DD6" w:rsidP="00D7571B">
      <w:pPr>
        <w:pStyle w:val="Heading3"/>
      </w:pPr>
      <w:bookmarkStart w:id="10" w:name="_Toc116383695"/>
      <w:r>
        <w:lastRenderedPageBreak/>
        <w:t>Licence and declaration scheme</w:t>
      </w:r>
      <w:bookmarkEnd w:id="10"/>
    </w:p>
    <w:p w14:paraId="30A488CC" w14:textId="48272BF1" w:rsidR="001A6DD6" w:rsidRDefault="001A6DD6" w:rsidP="00D65CF9">
      <w:r w:rsidRPr="00B26208">
        <w:t xml:space="preserve">Exporters </w:t>
      </w:r>
      <w:r>
        <w:t xml:space="preserve">of processed waste must hold a licence and </w:t>
      </w:r>
      <w:r w:rsidRPr="00B26208">
        <w:t>decl</w:t>
      </w:r>
      <w:r>
        <w:t>are their exports under a licensing</w:t>
      </w:r>
      <w:r w:rsidRPr="00B26208">
        <w:t xml:space="preserve"> and declaration scheme. </w:t>
      </w:r>
      <w:r>
        <w:t>Licen</w:t>
      </w:r>
      <w:r w:rsidR="00BF058D">
        <w:t>s</w:t>
      </w:r>
      <w:r>
        <w:t>ed exporters</w:t>
      </w:r>
      <w:r w:rsidRPr="00B26208">
        <w:t xml:space="preserve"> </w:t>
      </w:r>
      <w:r w:rsidR="006344B5">
        <w:t xml:space="preserve">are bound by conditions intended to ensure that </w:t>
      </w:r>
      <w:r>
        <w:t xml:space="preserve">the </w:t>
      </w:r>
      <w:r w:rsidR="001D17D1">
        <w:t xml:space="preserve">exported material </w:t>
      </w:r>
      <w:r>
        <w:t xml:space="preserve">does not pose a risk </w:t>
      </w:r>
      <w:r w:rsidR="006344B5">
        <w:t xml:space="preserve">to human or environmental health </w:t>
      </w:r>
      <w:r>
        <w:t>in the receiving country</w:t>
      </w:r>
      <w:r w:rsidR="006344B5">
        <w:t>. These conditions include (among others) demonstrating commercial arrangements with the importer.</w:t>
      </w:r>
      <w:r w:rsidRPr="00B26208">
        <w:t xml:space="preserve"> </w:t>
      </w:r>
    </w:p>
    <w:p w14:paraId="09E94B90" w14:textId="77777777" w:rsidR="001A6DD6" w:rsidRDefault="001A6DD6" w:rsidP="00D65CF9">
      <w:r w:rsidRPr="00B26208">
        <w:t xml:space="preserve">After being granted a licence, </w:t>
      </w:r>
      <w:r>
        <w:t xml:space="preserve">each </w:t>
      </w:r>
      <w:r w:rsidRPr="00B26208">
        <w:t xml:space="preserve">export </w:t>
      </w:r>
      <w:r>
        <w:t>must be</w:t>
      </w:r>
      <w:r w:rsidRPr="00B26208">
        <w:t xml:space="preserve"> declared</w:t>
      </w:r>
      <w:r>
        <w:t xml:space="preserve"> to the department before being exported</w:t>
      </w:r>
      <w:r w:rsidRPr="00B26208">
        <w:t>. This provide</w:t>
      </w:r>
      <w:r>
        <w:t>s</w:t>
      </w:r>
      <w:r w:rsidRPr="00B26208">
        <w:t xml:space="preserve"> the </w:t>
      </w:r>
      <w:r>
        <w:t>department</w:t>
      </w:r>
      <w:r w:rsidRPr="00B26208">
        <w:t xml:space="preserve"> with assurance that the export meets</w:t>
      </w:r>
      <w:r>
        <w:t xml:space="preserve"> the</w:t>
      </w:r>
      <w:r w:rsidRPr="00B26208">
        <w:t xml:space="preserve"> licence conditions and </w:t>
      </w:r>
      <w:r>
        <w:t>supports</w:t>
      </w:r>
      <w:r w:rsidRPr="00B26208">
        <w:t xml:space="preserve"> monitoring and compliance.</w:t>
      </w:r>
    </w:p>
    <w:p w14:paraId="0515D7AE" w14:textId="77777777" w:rsidR="001A6DD6" w:rsidRDefault="001A6DD6" w:rsidP="00D65CF9">
      <w:r w:rsidRPr="00B26208">
        <w:t xml:space="preserve">The scheme </w:t>
      </w:r>
      <w:r>
        <w:t>is</w:t>
      </w:r>
      <w:r w:rsidRPr="00B26208">
        <w:t xml:space="preserve"> </w:t>
      </w:r>
      <w:r>
        <w:t>supported</w:t>
      </w:r>
      <w:r w:rsidRPr="00B26208">
        <w:t xml:space="preserve"> by a </w:t>
      </w:r>
      <w:r>
        <w:t>suite</w:t>
      </w:r>
      <w:r w:rsidRPr="00B26208">
        <w:t xml:space="preserve"> of assurance and enforcement measures to facilitate compliance. </w:t>
      </w:r>
    </w:p>
    <w:p w14:paraId="43229059" w14:textId="79BD3C47" w:rsidR="001A6DD6" w:rsidRDefault="001A6DD6" w:rsidP="00D7571B">
      <w:pPr>
        <w:pStyle w:val="Heading1"/>
      </w:pPr>
      <w:bookmarkStart w:id="11" w:name="_Toc116383696"/>
      <w:r>
        <w:t xml:space="preserve">Cost </w:t>
      </w:r>
      <w:r w:rsidR="00D7571B">
        <w:t>r</w:t>
      </w:r>
      <w:r w:rsidRPr="004248AC">
        <w:t xml:space="preserve">ecovery </w:t>
      </w:r>
      <w:r w:rsidR="00D7571B">
        <w:t>b</w:t>
      </w:r>
      <w:r>
        <w:t>ackground</w:t>
      </w:r>
      <w:bookmarkEnd w:id="11"/>
    </w:p>
    <w:p w14:paraId="004F737D" w14:textId="669B557E" w:rsidR="001A6DD6" w:rsidRPr="00791EC4" w:rsidRDefault="001A6DD6" w:rsidP="00D65CF9">
      <w:r w:rsidRPr="00791EC4">
        <w:t>Cost recovery involves government entities charging individuals or organisations some</w:t>
      </w:r>
      <w:r>
        <w:t>,</w:t>
      </w:r>
      <w:r w:rsidRPr="00791EC4">
        <w:t xml:space="preserve"> or </w:t>
      </w:r>
      <w:r w:rsidR="00B11BB1" w:rsidRPr="00791EC4">
        <w:t>all</w:t>
      </w:r>
      <w:r>
        <w:t>,</w:t>
      </w:r>
      <w:r w:rsidR="001D17D1">
        <w:t xml:space="preserve"> of</w:t>
      </w:r>
      <w:r w:rsidRPr="00791EC4">
        <w:t xml:space="preserve"> the efficient costs of a government activity. These costs may include goods, services, regulation</w:t>
      </w:r>
      <w:r>
        <w:t>,</w:t>
      </w:r>
      <w:r w:rsidRPr="00791EC4">
        <w:t xml:space="preserve"> or a combination of these. </w:t>
      </w:r>
    </w:p>
    <w:p w14:paraId="54164D0D" w14:textId="5B268A50" w:rsidR="001A6DD6" w:rsidRDefault="001A6DD6" w:rsidP="00D65CF9">
      <w:pPr>
        <w:rPr>
          <w:rFonts w:cstheme="minorHAnsi"/>
        </w:rPr>
      </w:pPr>
      <w:r w:rsidRPr="00791EC4">
        <w:t xml:space="preserve">The </w:t>
      </w:r>
      <w:hyperlink r:id="rId22" w:history="1">
        <w:r>
          <w:rPr>
            <w:rStyle w:val="Hyperlink"/>
          </w:rPr>
          <w:t>Australian Government Charging Framework (Charging Framework)</w:t>
        </w:r>
      </w:hyperlink>
      <w:r w:rsidRPr="00791EC4">
        <w:t xml:space="preserve"> sets out the conditions under which government entities design, implement and review regulatory charging activities. </w:t>
      </w:r>
      <w:r w:rsidR="006758FF">
        <w:br/>
      </w:r>
      <w:r w:rsidRPr="00791EC4">
        <w:t xml:space="preserve">The Charging Framework provides that, where appropriate, non-government recipients of regulatory activities should be charged some or </w:t>
      </w:r>
      <w:r w:rsidR="00B11BB1" w:rsidRPr="00791EC4">
        <w:t>all</w:t>
      </w:r>
      <w:r w:rsidRPr="00791EC4">
        <w:t xml:space="preserve"> the efficient costs of those activities. Cost recovery promotes consistent, </w:t>
      </w:r>
      <w:r w:rsidR="00B11BB1" w:rsidRPr="00791EC4">
        <w:t>transparent,</w:t>
      </w:r>
      <w:r w:rsidRPr="00791EC4">
        <w:t xml:space="preserve"> and accountable charging for government regulatory activity and supports the proper use of public resources.</w:t>
      </w:r>
    </w:p>
    <w:p w14:paraId="110E8502" w14:textId="163E03F5" w:rsidR="001A6DD6" w:rsidRDefault="001A6DD6" w:rsidP="00D65CF9">
      <w:r>
        <w:t>Section</w:t>
      </w:r>
      <w:r w:rsidRPr="00A206D0">
        <w:t xml:space="preserve"> 1</w:t>
      </w:r>
      <w:r>
        <w:t>55</w:t>
      </w:r>
      <w:r w:rsidRPr="00A206D0">
        <w:t xml:space="preserve"> of </w:t>
      </w:r>
      <w:r>
        <w:t xml:space="preserve">the </w:t>
      </w:r>
      <w:proofErr w:type="spellStart"/>
      <w:r>
        <w:t>RaWR</w:t>
      </w:r>
      <w:proofErr w:type="spellEnd"/>
      <w:r>
        <w:t xml:space="preserve"> Act</w:t>
      </w:r>
      <w:r w:rsidRPr="00A206D0" w:rsidDel="002C529C">
        <w:t xml:space="preserve"> </w:t>
      </w:r>
      <w:r w:rsidRPr="00A206D0">
        <w:t>provide</w:t>
      </w:r>
      <w:r>
        <w:t>s</w:t>
      </w:r>
      <w:r w:rsidRPr="00A206D0">
        <w:t xml:space="preserve"> the legal basis for charging</w:t>
      </w:r>
      <w:r>
        <w:t xml:space="preserve"> a fee for a matter that r</w:t>
      </w:r>
      <w:r w:rsidRPr="001B7B5A">
        <w:t>elates to the</w:t>
      </w:r>
      <w:r>
        <w:t xml:space="preserve"> administration of the scheme. The </w:t>
      </w:r>
      <w:r w:rsidRPr="008D6E3A">
        <w:rPr>
          <w:i/>
        </w:rPr>
        <w:t>Recycling and Waste Reduction Charges (Customs) Act 2020</w:t>
      </w:r>
      <w:r>
        <w:t xml:space="preserve">; </w:t>
      </w:r>
      <w:r w:rsidRPr="008D6E3A">
        <w:rPr>
          <w:i/>
        </w:rPr>
        <w:t>Recycling and Waste Reduction Charges (Excise) Act 2020</w:t>
      </w:r>
      <w:r>
        <w:t xml:space="preserve">, and the </w:t>
      </w:r>
      <w:r w:rsidRPr="008D6E3A">
        <w:rPr>
          <w:i/>
        </w:rPr>
        <w:t>Recycling and Waste Reduction Charges (General) Act 2020</w:t>
      </w:r>
      <w:r>
        <w:t xml:space="preserve"> (the Charges Acts) provide the framework for imposing </w:t>
      </w:r>
      <w:r w:rsidR="002D1742">
        <w:t>a levy</w:t>
      </w:r>
      <w:r>
        <w:t xml:space="preserve">. </w:t>
      </w:r>
    </w:p>
    <w:p w14:paraId="081C5FCE" w14:textId="3FAB471B" w:rsidR="007B7B24" w:rsidRDefault="007B7B24" w:rsidP="00D65CF9">
      <w:r w:rsidRPr="009150FA">
        <w:t>In the 2020-21 Budget</w:t>
      </w:r>
      <w:r>
        <w:t xml:space="preserve">, </w:t>
      </w:r>
      <w:r w:rsidR="00390B0F">
        <w:t xml:space="preserve">the </w:t>
      </w:r>
      <w:r>
        <w:t>Waste Export</w:t>
      </w:r>
      <w:r w:rsidR="00390B0F">
        <w:t>s scheme</w:t>
      </w:r>
      <w:r w:rsidRPr="009150FA">
        <w:t xml:space="preserve"> received </w:t>
      </w:r>
      <w:r>
        <w:t>funding</w:t>
      </w:r>
      <w:r w:rsidRPr="009150FA">
        <w:t xml:space="preserve"> for the first two-and-a-half years</w:t>
      </w:r>
      <w:r w:rsidR="00390B0F">
        <w:t>,</w:t>
      </w:r>
      <w:r w:rsidRPr="009150FA">
        <w:t xml:space="preserve"> with fees and charges set at $0. </w:t>
      </w:r>
      <w:r>
        <w:t xml:space="preserve">This means industry does not </w:t>
      </w:r>
      <w:r w:rsidR="00390B0F">
        <w:t xml:space="preserve">currently </w:t>
      </w:r>
      <w:r>
        <w:t>pay a fee or levy for applications for permits, exemptions, variations or on declarations.</w:t>
      </w:r>
    </w:p>
    <w:p w14:paraId="3493077F" w14:textId="77777777" w:rsidR="001A6DD6" w:rsidRDefault="001A6DD6" w:rsidP="00D65CF9">
      <w:r>
        <w:t>Charges for each type of regulated waste material, including the amounts and who is liable to pay them, will be set out in regulations made under the Charges Acts.</w:t>
      </w:r>
    </w:p>
    <w:p w14:paraId="399B349A" w14:textId="77777777" w:rsidR="001A6DD6" w:rsidRPr="00B26208" w:rsidRDefault="001A6DD6" w:rsidP="00D7571B">
      <w:pPr>
        <w:pStyle w:val="Heading2"/>
      </w:pPr>
      <w:bookmarkStart w:id="12" w:name="_Toc116383697"/>
      <w:r w:rsidRPr="00B26208">
        <w:t>Outputs and business processes of the regulatory charging activity</w:t>
      </w:r>
      <w:bookmarkEnd w:id="12"/>
    </w:p>
    <w:p w14:paraId="685B210D" w14:textId="66A90DD7" w:rsidR="001A6DD6" w:rsidRDefault="001A6DD6" w:rsidP="00D65CF9">
      <w:pPr>
        <w:rPr>
          <w:rFonts w:cstheme="minorHAnsi"/>
        </w:rPr>
      </w:pPr>
      <w:r w:rsidRPr="00791EC4">
        <w:t xml:space="preserve">The </w:t>
      </w:r>
      <w:hyperlink r:id="rId23" w:history="1">
        <w:r w:rsidR="006758FF" w:rsidRPr="006758FF">
          <w:rPr>
            <w:rStyle w:val="Hyperlink"/>
          </w:rPr>
          <w:t>Chargin</w:t>
        </w:r>
        <w:r w:rsidRPr="006758FF">
          <w:rPr>
            <w:rStyle w:val="Hyperlink"/>
          </w:rPr>
          <w:t>g Framework</w:t>
        </w:r>
      </w:hyperlink>
      <w:r w:rsidRPr="00791EC4">
        <w:t xml:space="preserve"> notes the need to break down an activity into distinct outputs and the key business processes that are used to produce those outputs. These outputs have a discernible link with the costs, charges, and performance of the activity. </w:t>
      </w:r>
      <w:r>
        <w:t>The regulatory activities to meet the policy objective have been grouped into the following categories</w:t>
      </w:r>
      <w:r>
        <w:rPr>
          <w:rFonts w:cstheme="minorHAnsi"/>
        </w:rPr>
        <w:t>:</w:t>
      </w:r>
    </w:p>
    <w:p w14:paraId="0B8B0E15" w14:textId="127DD04C" w:rsidR="00A341B4" w:rsidRPr="00F529D7" w:rsidRDefault="001A6DD6" w:rsidP="00D65CF9">
      <w:pPr>
        <w:pStyle w:val="Bulletpoints"/>
      </w:pPr>
      <w:bookmarkStart w:id="13" w:name="_Hlk112134251"/>
      <w:r w:rsidRPr="00D65CF9">
        <w:rPr>
          <w:rStyle w:val="SubtleEmphasis"/>
        </w:rPr>
        <w:t>Program management and administration</w:t>
      </w:r>
      <w:r w:rsidRPr="00F529D7">
        <w:t xml:space="preserve"> –</w:t>
      </w:r>
      <w:r w:rsidR="00A125F3" w:rsidRPr="00F529D7">
        <w:t xml:space="preserve"> </w:t>
      </w:r>
      <w:r w:rsidRPr="00F529D7">
        <w:t>administrative activities that support the department to deliver and maintain the licencing and declaration scheme.</w:t>
      </w:r>
    </w:p>
    <w:p w14:paraId="416E834C" w14:textId="6D76ADB8" w:rsidR="003A47D1" w:rsidRPr="00F529D7" w:rsidRDefault="001A6DD6" w:rsidP="00D65CF9">
      <w:pPr>
        <w:pStyle w:val="Bulletpoints"/>
      </w:pPr>
      <w:r w:rsidRPr="00D65CF9">
        <w:rPr>
          <w:rStyle w:val="SubtleEmphasis"/>
        </w:rPr>
        <w:lastRenderedPageBreak/>
        <w:t>Assessment</w:t>
      </w:r>
      <w:r w:rsidRPr="00F529D7">
        <w:t xml:space="preserve"> – activities provided directly to an individual, </w:t>
      </w:r>
      <w:r w:rsidR="00B11BB1" w:rsidRPr="00F529D7">
        <w:t>business,</w:t>
      </w:r>
      <w:r w:rsidRPr="00F529D7">
        <w:t xml:space="preserve"> or organisation to assess applications of export licence</w:t>
      </w:r>
      <w:r w:rsidR="008A03CD">
        <w:t xml:space="preserve"> application</w:t>
      </w:r>
      <w:r w:rsidRPr="00F529D7">
        <w:t>s.</w:t>
      </w:r>
    </w:p>
    <w:p w14:paraId="65B7439C" w14:textId="7A06ECA8" w:rsidR="00A341B4" w:rsidRPr="00F529D7" w:rsidRDefault="001A6DD6" w:rsidP="00D65CF9">
      <w:pPr>
        <w:pStyle w:val="Bulletpoints"/>
      </w:pPr>
      <w:r w:rsidRPr="00D65CF9">
        <w:rPr>
          <w:rStyle w:val="SubtleEmphasis"/>
        </w:rPr>
        <w:t>Assurance</w:t>
      </w:r>
      <w:r w:rsidRPr="00F529D7">
        <w:t xml:space="preserve"> – activities to mitigate risk of non-compliance and support the continual improvement of the regulatory scheme</w:t>
      </w:r>
      <w:r w:rsidR="008A03CD">
        <w:t xml:space="preserve"> design</w:t>
      </w:r>
      <w:r w:rsidRPr="00F529D7">
        <w:t>.</w:t>
      </w:r>
    </w:p>
    <w:p w14:paraId="57A430BA" w14:textId="0C80C833" w:rsidR="001A6DD6" w:rsidRPr="00F529D7" w:rsidRDefault="00071EE4" w:rsidP="00D65CF9">
      <w:pPr>
        <w:pStyle w:val="Bulletpoints"/>
      </w:pPr>
      <w:r w:rsidRPr="00D65CF9">
        <w:rPr>
          <w:rStyle w:val="SubtleEmphasis"/>
        </w:rPr>
        <w:t xml:space="preserve">Incident </w:t>
      </w:r>
      <w:r w:rsidR="001A6DD6" w:rsidRPr="00D65CF9">
        <w:rPr>
          <w:rStyle w:val="SubtleEmphasis"/>
        </w:rPr>
        <w:t>management</w:t>
      </w:r>
      <w:r w:rsidR="001A6DD6" w:rsidRPr="00F529D7">
        <w:t xml:space="preserve"> – activities that respond to incidents concerning alleged breaches of the scheme.</w:t>
      </w:r>
    </w:p>
    <w:bookmarkEnd w:id="13"/>
    <w:p w14:paraId="5FAB454B" w14:textId="69ACFE9D" w:rsidR="001A6DD6" w:rsidRDefault="001A6DD6" w:rsidP="00D65CF9">
      <w:r>
        <w:t>F</w:t>
      </w:r>
      <w:r w:rsidRPr="00B26208">
        <w:t xml:space="preserve">urther </w:t>
      </w:r>
      <w:r>
        <w:t>description</w:t>
      </w:r>
      <w:r w:rsidRPr="00B26208">
        <w:t xml:space="preserve"> of the activities costed to deliver the scheme </w:t>
      </w:r>
      <w:r w:rsidR="001D17D1">
        <w:t>is</w:t>
      </w:r>
      <w:r>
        <w:t xml:space="preserve"> at </w:t>
      </w:r>
      <w:r w:rsidRPr="00F8391D">
        <w:rPr>
          <w:b/>
        </w:rPr>
        <w:t>Attachment A</w:t>
      </w:r>
      <w:r>
        <w:t>.</w:t>
      </w:r>
    </w:p>
    <w:p w14:paraId="11A75A07" w14:textId="77777777" w:rsidR="001A6DD6" w:rsidRPr="00F8391D" w:rsidRDefault="001A6DD6" w:rsidP="00D7571B">
      <w:pPr>
        <w:pStyle w:val="Heading2"/>
      </w:pPr>
      <w:bookmarkStart w:id="14" w:name="_Toc116383698"/>
      <w:r w:rsidRPr="00F8391D">
        <w:t>Costs of the regulatory charging activity</w:t>
      </w:r>
      <w:bookmarkEnd w:id="14"/>
    </w:p>
    <w:p w14:paraId="0B3B6648" w14:textId="55B392BB" w:rsidR="001A6DD6" w:rsidRDefault="001A6DD6" w:rsidP="00D65CF9">
      <w:r w:rsidRPr="00B26208">
        <w:t xml:space="preserve">To determine the cost of regulatory activities, </w:t>
      </w:r>
      <w:r>
        <w:t xml:space="preserve">the department used </w:t>
      </w:r>
      <w:r w:rsidRPr="00B26208">
        <w:t xml:space="preserve">an activity-based costing (ABC) </w:t>
      </w:r>
      <w:r w:rsidR="00E21AF1">
        <w:t>methodology</w:t>
      </w:r>
      <w:r w:rsidRPr="00B26208">
        <w:t>. The ABC methodology first involves determining which activities are required to administer and manage the licen</w:t>
      </w:r>
      <w:r>
        <w:t>s</w:t>
      </w:r>
      <w:r w:rsidRPr="00B26208">
        <w:t>ing and declaration scheme. The effort at each A</w:t>
      </w:r>
      <w:r w:rsidR="00BA696D">
        <w:t xml:space="preserve">ustralian </w:t>
      </w:r>
      <w:r w:rsidRPr="00B26208">
        <w:t>P</w:t>
      </w:r>
      <w:r w:rsidR="00BA696D">
        <w:t xml:space="preserve">ublic </w:t>
      </w:r>
      <w:r w:rsidRPr="00B26208">
        <w:t>S</w:t>
      </w:r>
      <w:r w:rsidR="00BA696D">
        <w:t>ervice (APS)</w:t>
      </w:r>
      <w:r w:rsidRPr="00B26208">
        <w:t xml:space="preserve"> classification level required for each activity and the expected frequency of each task was then determined. This was used to calculate our cost base and staffing requirements.</w:t>
      </w:r>
    </w:p>
    <w:p w14:paraId="374EBEF4" w14:textId="5CB65B89" w:rsidR="001A6DD6" w:rsidRDefault="001A6DD6" w:rsidP="00D65CF9">
      <w:r w:rsidRPr="00B26208">
        <w:t xml:space="preserve">The ABC </w:t>
      </w:r>
      <w:r w:rsidR="00E21AF1">
        <w:t>methodology</w:t>
      </w:r>
      <w:r w:rsidRPr="00B26208">
        <w:t xml:space="preserve"> uses the following two expense categories:</w:t>
      </w:r>
    </w:p>
    <w:p w14:paraId="207B17C2" w14:textId="1337ABEF" w:rsidR="001A6DD6" w:rsidRPr="009F6816" w:rsidRDefault="001A6DD6" w:rsidP="00D65CF9">
      <w:pPr>
        <w:pStyle w:val="Bulletpoints"/>
      </w:pPr>
      <w:r w:rsidRPr="00D65CF9">
        <w:rPr>
          <w:rStyle w:val="SubtleEmphasis"/>
        </w:rPr>
        <w:t>Direct expenses:</w:t>
      </w:r>
      <w:r w:rsidRPr="009F6816">
        <w:t xml:space="preserve"> these can be directly attributed to the provision of an activity, for example, application assessments and developing guidance. They comprise staff salaries </w:t>
      </w:r>
      <w:r w:rsidR="00E21AF1">
        <w:t xml:space="preserve">(including </w:t>
      </w:r>
      <w:r w:rsidR="00BA696D">
        <w:br/>
      </w:r>
      <w:r w:rsidR="00E21AF1">
        <w:t xml:space="preserve">on-costs, such as training, superannuation, and leave) </w:t>
      </w:r>
      <w:r w:rsidRPr="009F6816">
        <w:t xml:space="preserve">and supplier costs </w:t>
      </w:r>
      <w:r w:rsidR="00E21AF1">
        <w:t>(</w:t>
      </w:r>
      <w:r w:rsidR="00BA696D">
        <w:t>such as</w:t>
      </w:r>
      <w:r w:rsidR="00E21AF1">
        <w:t xml:space="preserve"> office supplies and workers compensation premiums</w:t>
      </w:r>
      <w:r w:rsidR="00EC2533">
        <w:t>);</w:t>
      </w:r>
    </w:p>
    <w:p w14:paraId="3622237A" w14:textId="488FAE7B" w:rsidR="001A6DD6" w:rsidRPr="009F6816" w:rsidRDefault="001A6DD6" w:rsidP="00D65CF9">
      <w:pPr>
        <w:pStyle w:val="Bulletpoints"/>
      </w:pPr>
      <w:r w:rsidRPr="00D65CF9">
        <w:rPr>
          <w:rStyle w:val="SubtleEmphasis"/>
        </w:rPr>
        <w:t>Indirect expenses:</w:t>
      </w:r>
      <w:r w:rsidRPr="009F6816">
        <w:t xml:space="preserve"> these support but are not directly linked to an activity provided by the department. Indirect expenses include corporate employee salaries and overheads such as information technology, finance, human resources costs, and indirect capital expenses</w:t>
      </w:r>
      <w:r w:rsidR="008A03CD">
        <w:t>. This</w:t>
      </w:r>
      <w:r w:rsidRPr="009F6816">
        <w:t xml:space="preserve"> includes expenditure on the </w:t>
      </w:r>
      <w:r>
        <w:t>d</w:t>
      </w:r>
      <w:r w:rsidRPr="009F6816">
        <w:t>epartment’s broader supporting systems, such as maintaining the websites for the scheme and our general email infrastructure.</w:t>
      </w:r>
    </w:p>
    <w:p w14:paraId="65D0AE8A" w14:textId="59CBA95E" w:rsidR="001A6DD6" w:rsidRPr="00F529D7" w:rsidRDefault="001A6DD6" w:rsidP="00D65CF9">
      <w:r w:rsidRPr="00F529D7">
        <w:t xml:space="preserve">We include indirect expenses in the cost base to reflect the systems and processes that exist to help with efficient administration, </w:t>
      </w:r>
      <w:r w:rsidR="00BA696D" w:rsidRPr="00F529D7">
        <w:t xml:space="preserve">from </w:t>
      </w:r>
      <w:r w:rsidRPr="00F529D7">
        <w:t xml:space="preserve">which the cost recovered arrangements benefit. </w:t>
      </w:r>
    </w:p>
    <w:p w14:paraId="465C4CBD" w14:textId="2C51F09B" w:rsidR="001A6DD6" w:rsidRDefault="001A6DD6" w:rsidP="00D7571B">
      <w:r w:rsidRPr="00B26208">
        <w:t xml:space="preserve">A full breakdown of direct and indirect costs per activity are </w:t>
      </w:r>
      <w:r>
        <w:t xml:space="preserve">shown </w:t>
      </w:r>
      <w:r w:rsidR="00A125F3">
        <w:t xml:space="preserve">on </w:t>
      </w:r>
      <w:r w:rsidR="00A125F3">
        <w:fldChar w:fldCharType="begin"/>
      </w:r>
      <w:r w:rsidR="00A125F3">
        <w:instrText xml:space="preserve"> REF _Ref116048503 \h </w:instrText>
      </w:r>
      <w:r w:rsidR="00A125F3">
        <w:fldChar w:fldCharType="separate"/>
      </w:r>
      <w:r w:rsidR="00AF29EE">
        <w:t xml:space="preserve">Table </w:t>
      </w:r>
      <w:r w:rsidR="00AF29EE">
        <w:rPr>
          <w:noProof/>
        </w:rPr>
        <w:t>2</w:t>
      </w:r>
      <w:r w:rsidR="00A125F3">
        <w:fldChar w:fldCharType="end"/>
      </w:r>
      <w:r w:rsidR="006758FF">
        <w:t xml:space="preserve"> on the following page</w:t>
      </w:r>
      <w:r w:rsidR="00A125F3">
        <w:t>.</w:t>
      </w:r>
    </w:p>
    <w:p w14:paraId="5EC5EE83" w14:textId="77777777" w:rsidR="00F529D7" w:rsidRDefault="00F529D7" w:rsidP="00D7571B">
      <w:r>
        <w:br w:type="page"/>
      </w:r>
    </w:p>
    <w:p w14:paraId="30D32D31" w14:textId="29C2E5D6" w:rsidR="00A125F3" w:rsidRDefault="00A125F3" w:rsidP="00D65CF9">
      <w:pPr>
        <w:pStyle w:val="Caption"/>
      </w:pPr>
      <w:bookmarkStart w:id="15" w:name="_Ref116048503"/>
      <w:r>
        <w:lastRenderedPageBreak/>
        <w:t xml:space="preserve">Table </w:t>
      </w:r>
      <w:fldSimple w:instr=" SEQ Table \* ARABIC ">
        <w:r w:rsidR="00AF29EE">
          <w:rPr>
            <w:noProof/>
          </w:rPr>
          <w:t>2</w:t>
        </w:r>
      </w:fldSimple>
      <w:bookmarkEnd w:id="15"/>
      <w:r>
        <w:t xml:space="preserve">: </w:t>
      </w:r>
      <w:r w:rsidRPr="00A77A72">
        <w:t>Cost type breakdown for licensing and declaration scheme</w:t>
      </w:r>
      <w:r>
        <w:t xml:space="preserve"> for the four years from 2023</w:t>
      </w:r>
      <w:r>
        <w:noBreakHyphen/>
        <w:t>2024 to 2026-2027</w:t>
      </w:r>
    </w:p>
    <w:tbl>
      <w:tblPr>
        <w:tblW w:w="9346" w:type="dxa"/>
        <w:tblLook w:val="04A0" w:firstRow="1" w:lastRow="0" w:firstColumn="1" w:lastColumn="0" w:noHBand="0" w:noVBand="1"/>
      </w:tblPr>
      <w:tblGrid>
        <w:gridCol w:w="4385"/>
        <w:gridCol w:w="1559"/>
        <w:gridCol w:w="1701"/>
        <w:gridCol w:w="1701"/>
      </w:tblGrid>
      <w:tr w:rsidR="00AA0144" w:rsidRPr="00AA0144" w14:paraId="1636DFCF" w14:textId="77777777" w:rsidTr="00750D6A">
        <w:trPr>
          <w:trHeight w:val="145"/>
        </w:trPr>
        <w:tc>
          <w:tcPr>
            <w:tcW w:w="4385" w:type="dxa"/>
            <w:vMerge w:val="restart"/>
            <w:tcBorders>
              <w:top w:val="single" w:sz="8" w:space="0" w:color="8EC8BF"/>
              <w:left w:val="single" w:sz="8" w:space="0" w:color="8EC8BF"/>
              <w:bottom w:val="single" w:sz="8" w:space="0" w:color="8EC8BF"/>
              <w:right w:val="single" w:sz="8" w:space="0" w:color="8EC8BF"/>
            </w:tcBorders>
            <w:shd w:val="clear" w:color="000000" w:fill="B8DCD7"/>
            <w:vAlign w:val="center"/>
            <w:hideMark/>
          </w:tcPr>
          <w:p w14:paraId="515FBB07" w14:textId="77777777" w:rsidR="00AA0144" w:rsidRPr="00D65CF9" w:rsidRDefault="00AA0144" w:rsidP="00D65CF9">
            <w:pPr>
              <w:pStyle w:val="TableSpacing"/>
              <w:rPr>
                <w:rStyle w:val="Strong"/>
              </w:rPr>
            </w:pPr>
            <w:r w:rsidRPr="00D65CF9">
              <w:rPr>
                <w:rStyle w:val="Strong"/>
              </w:rPr>
              <w:t> </w:t>
            </w:r>
          </w:p>
        </w:tc>
        <w:tc>
          <w:tcPr>
            <w:tcW w:w="1559" w:type="dxa"/>
            <w:tcBorders>
              <w:top w:val="single" w:sz="8" w:space="0" w:color="8EC8BF"/>
              <w:left w:val="nil"/>
              <w:bottom w:val="nil"/>
              <w:right w:val="single" w:sz="8" w:space="0" w:color="8EC8BF"/>
            </w:tcBorders>
            <w:shd w:val="clear" w:color="000000" w:fill="B8DCD7"/>
            <w:vAlign w:val="center"/>
            <w:hideMark/>
          </w:tcPr>
          <w:p w14:paraId="6096CCFD" w14:textId="77777777" w:rsidR="00AA0144" w:rsidRPr="00D65CF9" w:rsidRDefault="00AA0144" w:rsidP="00D65CF9">
            <w:pPr>
              <w:pStyle w:val="TableSpacing"/>
              <w:rPr>
                <w:rStyle w:val="Strong"/>
              </w:rPr>
            </w:pPr>
            <w:r w:rsidRPr="00D65CF9">
              <w:rPr>
                <w:rStyle w:val="Strong"/>
              </w:rPr>
              <w:t xml:space="preserve">Direct Costs </w:t>
            </w:r>
          </w:p>
        </w:tc>
        <w:tc>
          <w:tcPr>
            <w:tcW w:w="1701" w:type="dxa"/>
            <w:tcBorders>
              <w:top w:val="single" w:sz="8" w:space="0" w:color="8EC8BF"/>
              <w:left w:val="nil"/>
              <w:bottom w:val="nil"/>
              <w:right w:val="single" w:sz="8" w:space="0" w:color="8EC8BF"/>
            </w:tcBorders>
            <w:shd w:val="clear" w:color="000000" w:fill="B8DCD7"/>
            <w:vAlign w:val="center"/>
            <w:hideMark/>
          </w:tcPr>
          <w:p w14:paraId="1442F0C3" w14:textId="77777777" w:rsidR="00AA0144" w:rsidRPr="00D65CF9" w:rsidRDefault="00AA0144" w:rsidP="00D65CF9">
            <w:pPr>
              <w:pStyle w:val="TableSpacing"/>
              <w:rPr>
                <w:rStyle w:val="Strong"/>
              </w:rPr>
            </w:pPr>
            <w:r w:rsidRPr="00D65CF9">
              <w:rPr>
                <w:rStyle w:val="Strong"/>
              </w:rPr>
              <w:t xml:space="preserve">Indirect Costs </w:t>
            </w:r>
          </w:p>
        </w:tc>
        <w:tc>
          <w:tcPr>
            <w:tcW w:w="1701" w:type="dxa"/>
            <w:tcBorders>
              <w:top w:val="single" w:sz="8" w:space="0" w:color="8EC8BF"/>
              <w:left w:val="nil"/>
              <w:bottom w:val="nil"/>
              <w:right w:val="single" w:sz="8" w:space="0" w:color="8EC8BF"/>
            </w:tcBorders>
            <w:shd w:val="clear" w:color="000000" w:fill="B8DCD7"/>
            <w:vAlign w:val="center"/>
            <w:hideMark/>
          </w:tcPr>
          <w:p w14:paraId="671B1D10" w14:textId="77777777" w:rsidR="00AA0144" w:rsidRPr="00D65CF9" w:rsidRDefault="00AA0144" w:rsidP="00D65CF9">
            <w:pPr>
              <w:pStyle w:val="TableSpacing"/>
              <w:rPr>
                <w:rStyle w:val="Strong"/>
              </w:rPr>
            </w:pPr>
            <w:r w:rsidRPr="00D65CF9">
              <w:rPr>
                <w:rStyle w:val="Strong"/>
              </w:rPr>
              <w:t>Total</w:t>
            </w:r>
          </w:p>
        </w:tc>
      </w:tr>
      <w:tr w:rsidR="00AA0144" w:rsidRPr="00AA0144" w14:paraId="6CE860CE" w14:textId="77777777" w:rsidTr="00750D6A">
        <w:trPr>
          <w:trHeight w:val="75"/>
        </w:trPr>
        <w:tc>
          <w:tcPr>
            <w:tcW w:w="4385" w:type="dxa"/>
            <w:vMerge/>
            <w:tcBorders>
              <w:top w:val="single" w:sz="8" w:space="0" w:color="8EC8BF"/>
              <w:left w:val="single" w:sz="8" w:space="0" w:color="8EC8BF"/>
              <w:bottom w:val="single" w:sz="8" w:space="0" w:color="8EC8BF"/>
              <w:right w:val="single" w:sz="8" w:space="0" w:color="8EC8BF"/>
            </w:tcBorders>
            <w:vAlign w:val="center"/>
            <w:hideMark/>
          </w:tcPr>
          <w:p w14:paraId="5234B861" w14:textId="77777777" w:rsidR="00AA0144" w:rsidRPr="00D65CF9" w:rsidRDefault="00AA0144" w:rsidP="00D65CF9">
            <w:pPr>
              <w:pStyle w:val="TableSpacing"/>
              <w:rPr>
                <w:rStyle w:val="Strong"/>
              </w:rPr>
            </w:pPr>
          </w:p>
        </w:tc>
        <w:tc>
          <w:tcPr>
            <w:tcW w:w="1559" w:type="dxa"/>
            <w:tcBorders>
              <w:top w:val="nil"/>
              <w:left w:val="nil"/>
              <w:bottom w:val="single" w:sz="8" w:space="0" w:color="8EC8BF"/>
              <w:right w:val="single" w:sz="8" w:space="0" w:color="8EC8BF"/>
            </w:tcBorders>
            <w:shd w:val="clear" w:color="000000" w:fill="B8DCD7"/>
            <w:vAlign w:val="center"/>
            <w:hideMark/>
          </w:tcPr>
          <w:p w14:paraId="4B923336" w14:textId="77777777" w:rsidR="00AA0144" w:rsidRPr="00D65CF9" w:rsidRDefault="00AA0144" w:rsidP="00D65CF9">
            <w:pPr>
              <w:pStyle w:val="TableSpacing"/>
              <w:rPr>
                <w:rStyle w:val="Strong"/>
              </w:rPr>
            </w:pPr>
            <w:r w:rsidRPr="00D65CF9">
              <w:rPr>
                <w:rStyle w:val="Strong"/>
              </w:rPr>
              <w:t>($)</w:t>
            </w:r>
          </w:p>
        </w:tc>
        <w:tc>
          <w:tcPr>
            <w:tcW w:w="1701" w:type="dxa"/>
            <w:tcBorders>
              <w:top w:val="nil"/>
              <w:left w:val="nil"/>
              <w:bottom w:val="single" w:sz="8" w:space="0" w:color="8EC8BF"/>
              <w:right w:val="single" w:sz="8" w:space="0" w:color="8EC8BF"/>
            </w:tcBorders>
            <w:shd w:val="clear" w:color="000000" w:fill="B8DCD7"/>
            <w:vAlign w:val="center"/>
            <w:hideMark/>
          </w:tcPr>
          <w:p w14:paraId="42C36D84" w14:textId="77777777" w:rsidR="00AA0144" w:rsidRPr="00D65CF9" w:rsidRDefault="00AA0144" w:rsidP="00D65CF9">
            <w:pPr>
              <w:pStyle w:val="TableSpacing"/>
              <w:rPr>
                <w:rStyle w:val="Strong"/>
              </w:rPr>
            </w:pPr>
            <w:r w:rsidRPr="00D65CF9">
              <w:rPr>
                <w:rStyle w:val="Strong"/>
              </w:rPr>
              <w:t>($)</w:t>
            </w:r>
          </w:p>
        </w:tc>
        <w:tc>
          <w:tcPr>
            <w:tcW w:w="1701" w:type="dxa"/>
            <w:tcBorders>
              <w:top w:val="nil"/>
              <w:left w:val="nil"/>
              <w:bottom w:val="single" w:sz="8" w:space="0" w:color="8EC8BF"/>
              <w:right w:val="single" w:sz="8" w:space="0" w:color="8EC8BF"/>
            </w:tcBorders>
            <w:shd w:val="clear" w:color="000000" w:fill="B8DCD7"/>
            <w:vAlign w:val="center"/>
            <w:hideMark/>
          </w:tcPr>
          <w:p w14:paraId="5E4D450E" w14:textId="77777777" w:rsidR="00AA0144" w:rsidRPr="00D65CF9" w:rsidRDefault="00AA0144" w:rsidP="00D65CF9">
            <w:pPr>
              <w:pStyle w:val="TableSpacing"/>
              <w:rPr>
                <w:rStyle w:val="Strong"/>
              </w:rPr>
            </w:pPr>
            <w:r w:rsidRPr="00D65CF9">
              <w:rPr>
                <w:rStyle w:val="Strong"/>
              </w:rPr>
              <w:t>($)</w:t>
            </w:r>
          </w:p>
        </w:tc>
      </w:tr>
      <w:tr w:rsidR="00AA0144" w:rsidRPr="00AA0144" w14:paraId="40C5E558" w14:textId="77777777" w:rsidTr="00750D6A">
        <w:trPr>
          <w:trHeight w:val="130"/>
        </w:trPr>
        <w:tc>
          <w:tcPr>
            <w:tcW w:w="9346" w:type="dxa"/>
            <w:gridSpan w:val="4"/>
            <w:tcBorders>
              <w:top w:val="single" w:sz="8" w:space="0" w:color="8EC8BF"/>
              <w:left w:val="single" w:sz="8" w:space="0" w:color="8EC8BF"/>
              <w:bottom w:val="single" w:sz="8" w:space="0" w:color="8EC8BF"/>
              <w:right w:val="single" w:sz="8" w:space="0" w:color="8EC8BF"/>
            </w:tcBorders>
            <w:shd w:val="clear" w:color="000000" w:fill="E2F1EE"/>
            <w:vAlign w:val="center"/>
            <w:hideMark/>
          </w:tcPr>
          <w:p w14:paraId="3D034048" w14:textId="77777777" w:rsidR="00AA0144" w:rsidRPr="00D65CF9" w:rsidRDefault="00AA0144" w:rsidP="00D65CF9">
            <w:pPr>
              <w:pStyle w:val="TableSpacing"/>
              <w:rPr>
                <w:rStyle w:val="Strong"/>
              </w:rPr>
            </w:pPr>
            <w:r w:rsidRPr="00D65CF9">
              <w:rPr>
                <w:rStyle w:val="Strong"/>
              </w:rPr>
              <w:t>Program management and administration</w:t>
            </w:r>
          </w:p>
        </w:tc>
      </w:tr>
      <w:tr w:rsidR="00853AFC" w:rsidRPr="00AA0144" w14:paraId="2B30EF80" w14:textId="77777777" w:rsidTr="00750D6A">
        <w:trPr>
          <w:trHeight w:val="102"/>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02FC3CFC" w14:textId="77777777" w:rsidR="00853AFC" w:rsidRPr="00AA0144" w:rsidRDefault="00853AFC" w:rsidP="00D65CF9">
            <w:pPr>
              <w:pStyle w:val="TableSpacing"/>
            </w:pPr>
            <w:r w:rsidRPr="00AA0144">
              <w:t>Policy and instructional materials</w:t>
            </w:r>
          </w:p>
        </w:tc>
        <w:tc>
          <w:tcPr>
            <w:tcW w:w="1559" w:type="dxa"/>
            <w:tcBorders>
              <w:top w:val="nil"/>
              <w:left w:val="nil"/>
              <w:bottom w:val="single" w:sz="8" w:space="0" w:color="8EC8BF"/>
              <w:right w:val="single" w:sz="8" w:space="0" w:color="8EC8BF"/>
            </w:tcBorders>
            <w:shd w:val="clear" w:color="auto" w:fill="auto"/>
            <w:hideMark/>
          </w:tcPr>
          <w:p w14:paraId="21BC451F" w14:textId="07C3F0D6" w:rsidR="00853AFC" w:rsidRPr="00AA0144" w:rsidRDefault="00853AFC" w:rsidP="00D65CF9">
            <w:pPr>
              <w:pStyle w:val="TableSpacing"/>
            </w:pPr>
            <w:r w:rsidRPr="00853AFC">
              <w:t xml:space="preserve">1,198,051 </w:t>
            </w:r>
          </w:p>
        </w:tc>
        <w:tc>
          <w:tcPr>
            <w:tcW w:w="1701" w:type="dxa"/>
            <w:tcBorders>
              <w:top w:val="nil"/>
              <w:left w:val="nil"/>
              <w:bottom w:val="single" w:sz="8" w:space="0" w:color="8EC8BF"/>
              <w:right w:val="single" w:sz="8" w:space="0" w:color="8EC8BF"/>
            </w:tcBorders>
            <w:shd w:val="clear" w:color="auto" w:fill="auto"/>
            <w:hideMark/>
          </w:tcPr>
          <w:p w14:paraId="4EB48B3B" w14:textId="70BDD597" w:rsidR="00853AFC" w:rsidRPr="00AA0144" w:rsidRDefault="00853AFC" w:rsidP="00D65CF9">
            <w:pPr>
              <w:pStyle w:val="TableSpacing"/>
            </w:pPr>
            <w:r w:rsidRPr="00853AFC">
              <w:t xml:space="preserve">359,415 </w:t>
            </w:r>
          </w:p>
        </w:tc>
        <w:tc>
          <w:tcPr>
            <w:tcW w:w="1701" w:type="dxa"/>
            <w:tcBorders>
              <w:top w:val="nil"/>
              <w:left w:val="nil"/>
              <w:bottom w:val="single" w:sz="8" w:space="0" w:color="8EC8BF"/>
              <w:right w:val="single" w:sz="8" w:space="0" w:color="8EC8BF"/>
            </w:tcBorders>
            <w:shd w:val="clear" w:color="auto" w:fill="auto"/>
            <w:hideMark/>
          </w:tcPr>
          <w:p w14:paraId="7F4E4686" w14:textId="56174F00" w:rsidR="00853AFC" w:rsidRPr="00AA0144" w:rsidRDefault="00853AFC" w:rsidP="00D65CF9">
            <w:pPr>
              <w:pStyle w:val="TableSpacing"/>
            </w:pPr>
            <w:r w:rsidRPr="00853AFC">
              <w:t xml:space="preserve">1,557,466 </w:t>
            </w:r>
          </w:p>
        </w:tc>
      </w:tr>
      <w:tr w:rsidR="00853AFC" w:rsidRPr="00AA0144" w14:paraId="33AFE35A" w14:textId="77777777" w:rsidTr="00750D6A">
        <w:trPr>
          <w:trHeight w:val="367"/>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55C6FB70" w14:textId="77777777" w:rsidR="00853AFC" w:rsidRPr="00AA0144" w:rsidRDefault="00853AFC" w:rsidP="00D65CF9">
            <w:pPr>
              <w:pStyle w:val="TableSpacing"/>
            </w:pPr>
            <w:r w:rsidRPr="00AA0144">
              <w:t>Workforce and business management</w:t>
            </w:r>
          </w:p>
        </w:tc>
        <w:tc>
          <w:tcPr>
            <w:tcW w:w="1559" w:type="dxa"/>
            <w:tcBorders>
              <w:top w:val="nil"/>
              <w:left w:val="nil"/>
              <w:bottom w:val="single" w:sz="8" w:space="0" w:color="8EC8BF"/>
              <w:right w:val="single" w:sz="8" w:space="0" w:color="8EC8BF"/>
            </w:tcBorders>
            <w:shd w:val="clear" w:color="auto" w:fill="auto"/>
            <w:hideMark/>
          </w:tcPr>
          <w:p w14:paraId="4DA8C922" w14:textId="419328F5" w:rsidR="00853AFC" w:rsidRPr="00AA0144" w:rsidRDefault="00853AFC" w:rsidP="00D65CF9">
            <w:pPr>
              <w:pStyle w:val="TableSpacing"/>
            </w:pPr>
            <w:r w:rsidRPr="00853AFC">
              <w:t xml:space="preserve">135,885 </w:t>
            </w:r>
          </w:p>
        </w:tc>
        <w:tc>
          <w:tcPr>
            <w:tcW w:w="1701" w:type="dxa"/>
            <w:tcBorders>
              <w:top w:val="nil"/>
              <w:left w:val="nil"/>
              <w:bottom w:val="single" w:sz="8" w:space="0" w:color="8EC8BF"/>
              <w:right w:val="single" w:sz="8" w:space="0" w:color="8EC8BF"/>
            </w:tcBorders>
            <w:shd w:val="clear" w:color="auto" w:fill="auto"/>
            <w:hideMark/>
          </w:tcPr>
          <w:p w14:paraId="5F390833" w14:textId="4EA9DEC6" w:rsidR="00853AFC" w:rsidRPr="00AA0144" w:rsidRDefault="00853AFC" w:rsidP="00D65CF9">
            <w:pPr>
              <w:pStyle w:val="TableSpacing"/>
            </w:pPr>
            <w:r w:rsidRPr="00853AFC">
              <w:t xml:space="preserve">40,765 </w:t>
            </w:r>
          </w:p>
        </w:tc>
        <w:tc>
          <w:tcPr>
            <w:tcW w:w="1701" w:type="dxa"/>
            <w:tcBorders>
              <w:top w:val="nil"/>
              <w:left w:val="nil"/>
              <w:bottom w:val="single" w:sz="8" w:space="0" w:color="8EC8BF"/>
              <w:right w:val="single" w:sz="8" w:space="0" w:color="8EC8BF"/>
            </w:tcBorders>
            <w:shd w:val="clear" w:color="auto" w:fill="auto"/>
            <w:hideMark/>
          </w:tcPr>
          <w:p w14:paraId="29FC671E" w14:textId="1666A456" w:rsidR="00853AFC" w:rsidRPr="00AA0144" w:rsidRDefault="00853AFC" w:rsidP="00D65CF9">
            <w:pPr>
              <w:pStyle w:val="TableSpacing"/>
            </w:pPr>
            <w:r w:rsidRPr="00853AFC">
              <w:t xml:space="preserve">176,650 </w:t>
            </w:r>
          </w:p>
        </w:tc>
      </w:tr>
      <w:tr w:rsidR="00C355E4" w:rsidRPr="00AA0144" w14:paraId="5C9D6E9A" w14:textId="77777777" w:rsidTr="00750D6A">
        <w:trPr>
          <w:trHeight w:val="294"/>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29767596" w14:textId="77777777" w:rsidR="00C355E4" w:rsidRPr="00AA0144" w:rsidRDefault="00C355E4" w:rsidP="00D65CF9">
            <w:pPr>
              <w:pStyle w:val="TableSpacing"/>
            </w:pPr>
            <w:r w:rsidRPr="00AA0144">
              <w:t>Business system administration</w:t>
            </w:r>
          </w:p>
        </w:tc>
        <w:tc>
          <w:tcPr>
            <w:tcW w:w="1559" w:type="dxa"/>
            <w:tcBorders>
              <w:top w:val="nil"/>
              <w:left w:val="nil"/>
              <w:bottom w:val="single" w:sz="8" w:space="0" w:color="8EC8BF"/>
              <w:right w:val="single" w:sz="8" w:space="0" w:color="8EC8BF"/>
            </w:tcBorders>
            <w:shd w:val="clear" w:color="auto" w:fill="auto"/>
            <w:hideMark/>
          </w:tcPr>
          <w:p w14:paraId="4089CD77" w14:textId="1B6B56B2" w:rsidR="00C355E4" w:rsidRPr="00AA0144" w:rsidRDefault="00C355E4" w:rsidP="00D65CF9">
            <w:pPr>
              <w:pStyle w:val="TableSpacing"/>
            </w:pPr>
            <w:r w:rsidRPr="00853AFC">
              <w:t xml:space="preserve">2,568,180 </w:t>
            </w:r>
          </w:p>
        </w:tc>
        <w:tc>
          <w:tcPr>
            <w:tcW w:w="1701" w:type="dxa"/>
            <w:tcBorders>
              <w:top w:val="nil"/>
              <w:left w:val="nil"/>
              <w:bottom w:val="single" w:sz="8" w:space="0" w:color="8EC8BF"/>
              <w:right w:val="single" w:sz="8" w:space="0" w:color="8EC8BF"/>
            </w:tcBorders>
            <w:shd w:val="clear" w:color="auto" w:fill="auto"/>
            <w:hideMark/>
          </w:tcPr>
          <w:p w14:paraId="019C1D22" w14:textId="401CBFFC" w:rsidR="00C355E4" w:rsidRPr="00AA0144" w:rsidRDefault="00C355E4" w:rsidP="00D65CF9">
            <w:pPr>
              <w:pStyle w:val="TableSpacing"/>
            </w:pPr>
            <w:r w:rsidRPr="00853AFC">
              <w:t xml:space="preserve">770,454 </w:t>
            </w:r>
          </w:p>
        </w:tc>
        <w:tc>
          <w:tcPr>
            <w:tcW w:w="1701" w:type="dxa"/>
            <w:tcBorders>
              <w:top w:val="nil"/>
              <w:left w:val="nil"/>
              <w:bottom w:val="single" w:sz="8" w:space="0" w:color="8EC8BF"/>
              <w:right w:val="single" w:sz="8" w:space="0" w:color="8EC8BF"/>
            </w:tcBorders>
            <w:shd w:val="clear" w:color="auto" w:fill="auto"/>
            <w:hideMark/>
          </w:tcPr>
          <w:p w14:paraId="5D165F17" w14:textId="0E847D1C" w:rsidR="00C355E4" w:rsidRPr="00AA0144" w:rsidRDefault="00C355E4" w:rsidP="00D65CF9">
            <w:pPr>
              <w:pStyle w:val="TableSpacing"/>
            </w:pPr>
            <w:r w:rsidRPr="00853AFC">
              <w:t xml:space="preserve">3,338,635 </w:t>
            </w:r>
          </w:p>
        </w:tc>
      </w:tr>
      <w:tr w:rsidR="00C355E4" w:rsidRPr="00AA0144" w14:paraId="68036F50" w14:textId="77777777" w:rsidTr="00750D6A">
        <w:trPr>
          <w:trHeight w:val="294"/>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5AD861CF" w14:textId="77777777" w:rsidR="00C355E4" w:rsidRPr="00AA0144" w:rsidRDefault="00C355E4" w:rsidP="00D65CF9">
            <w:pPr>
              <w:pStyle w:val="TableSpacing"/>
            </w:pPr>
            <w:r w:rsidRPr="00AA0144">
              <w:t>Stakeholder engagement</w:t>
            </w:r>
          </w:p>
        </w:tc>
        <w:tc>
          <w:tcPr>
            <w:tcW w:w="1559" w:type="dxa"/>
            <w:tcBorders>
              <w:top w:val="nil"/>
              <w:left w:val="nil"/>
              <w:bottom w:val="single" w:sz="8" w:space="0" w:color="8EC8BF"/>
              <w:right w:val="single" w:sz="8" w:space="0" w:color="8EC8BF"/>
            </w:tcBorders>
            <w:shd w:val="clear" w:color="auto" w:fill="auto"/>
            <w:hideMark/>
          </w:tcPr>
          <w:p w14:paraId="3A2D3BBC" w14:textId="2A4DF011" w:rsidR="00C355E4" w:rsidRPr="00AA0144" w:rsidRDefault="00C355E4" w:rsidP="00D65CF9">
            <w:pPr>
              <w:pStyle w:val="TableSpacing"/>
            </w:pPr>
            <w:r w:rsidRPr="00853AFC">
              <w:t xml:space="preserve">1,393,624 </w:t>
            </w:r>
          </w:p>
        </w:tc>
        <w:tc>
          <w:tcPr>
            <w:tcW w:w="1701" w:type="dxa"/>
            <w:tcBorders>
              <w:top w:val="nil"/>
              <w:left w:val="nil"/>
              <w:bottom w:val="single" w:sz="8" w:space="0" w:color="8EC8BF"/>
              <w:right w:val="single" w:sz="8" w:space="0" w:color="8EC8BF"/>
            </w:tcBorders>
            <w:shd w:val="clear" w:color="auto" w:fill="auto"/>
            <w:hideMark/>
          </w:tcPr>
          <w:p w14:paraId="74596699" w14:textId="07ACC5D7" w:rsidR="00C355E4" w:rsidRPr="00AA0144" w:rsidRDefault="00C355E4" w:rsidP="00D65CF9">
            <w:pPr>
              <w:pStyle w:val="TableSpacing"/>
            </w:pPr>
            <w:r w:rsidRPr="00853AFC">
              <w:t xml:space="preserve">418,087 </w:t>
            </w:r>
          </w:p>
        </w:tc>
        <w:tc>
          <w:tcPr>
            <w:tcW w:w="1701" w:type="dxa"/>
            <w:tcBorders>
              <w:top w:val="nil"/>
              <w:left w:val="nil"/>
              <w:bottom w:val="single" w:sz="8" w:space="0" w:color="8EC8BF"/>
              <w:right w:val="single" w:sz="8" w:space="0" w:color="8EC8BF"/>
            </w:tcBorders>
            <w:shd w:val="clear" w:color="auto" w:fill="auto"/>
            <w:hideMark/>
          </w:tcPr>
          <w:p w14:paraId="24C1EA7A" w14:textId="337CBCAA" w:rsidR="00C355E4" w:rsidRPr="00AA0144" w:rsidRDefault="00C355E4" w:rsidP="00D65CF9">
            <w:pPr>
              <w:pStyle w:val="TableSpacing"/>
            </w:pPr>
            <w:r w:rsidRPr="00853AFC">
              <w:t xml:space="preserve">1,811,711 </w:t>
            </w:r>
          </w:p>
        </w:tc>
      </w:tr>
      <w:tr w:rsidR="00AA0144" w:rsidRPr="00AA0144" w14:paraId="4B0B8B32" w14:textId="77777777" w:rsidTr="00750D6A">
        <w:trPr>
          <w:trHeight w:val="148"/>
        </w:trPr>
        <w:tc>
          <w:tcPr>
            <w:tcW w:w="4385" w:type="dxa"/>
            <w:tcBorders>
              <w:top w:val="nil"/>
              <w:left w:val="single" w:sz="8" w:space="0" w:color="8EC8BF"/>
              <w:bottom w:val="single" w:sz="8" w:space="0" w:color="8EC8BF"/>
              <w:right w:val="nil"/>
            </w:tcBorders>
            <w:shd w:val="clear" w:color="000000" w:fill="E2F1EE"/>
            <w:vAlign w:val="center"/>
            <w:hideMark/>
          </w:tcPr>
          <w:p w14:paraId="2F7415F3" w14:textId="77777777" w:rsidR="00AA0144" w:rsidRPr="00D65CF9" w:rsidRDefault="00AA0144" w:rsidP="00D65CF9">
            <w:pPr>
              <w:pStyle w:val="TableSpacing"/>
              <w:rPr>
                <w:rStyle w:val="Strong"/>
              </w:rPr>
            </w:pPr>
            <w:r w:rsidRPr="00D65CF9">
              <w:rPr>
                <w:rStyle w:val="Strong"/>
              </w:rPr>
              <w:t>Assurance</w:t>
            </w:r>
          </w:p>
        </w:tc>
        <w:tc>
          <w:tcPr>
            <w:tcW w:w="1559" w:type="dxa"/>
            <w:tcBorders>
              <w:top w:val="nil"/>
              <w:left w:val="nil"/>
              <w:bottom w:val="single" w:sz="8" w:space="0" w:color="8EC8BF"/>
              <w:right w:val="nil"/>
            </w:tcBorders>
            <w:shd w:val="clear" w:color="000000" w:fill="E2F1EE"/>
            <w:vAlign w:val="center"/>
            <w:hideMark/>
          </w:tcPr>
          <w:p w14:paraId="137ACFB1" w14:textId="77777777" w:rsidR="00AA0144" w:rsidRPr="00AA0144" w:rsidRDefault="00AA0144" w:rsidP="00D65CF9">
            <w:pPr>
              <w:pStyle w:val="TableSpacing"/>
            </w:pPr>
            <w:r w:rsidRPr="00AA0144">
              <w:t> </w:t>
            </w:r>
          </w:p>
        </w:tc>
        <w:tc>
          <w:tcPr>
            <w:tcW w:w="1701" w:type="dxa"/>
            <w:tcBorders>
              <w:top w:val="nil"/>
              <w:left w:val="nil"/>
              <w:bottom w:val="single" w:sz="8" w:space="0" w:color="8EC8BF"/>
              <w:right w:val="nil"/>
            </w:tcBorders>
            <w:shd w:val="clear" w:color="000000" w:fill="E2F1EE"/>
            <w:vAlign w:val="center"/>
            <w:hideMark/>
          </w:tcPr>
          <w:p w14:paraId="697E668E" w14:textId="77777777" w:rsidR="00AA0144" w:rsidRPr="00AA0144" w:rsidRDefault="00AA0144" w:rsidP="00D65CF9">
            <w:pPr>
              <w:pStyle w:val="TableSpacing"/>
            </w:pPr>
            <w:r w:rsidRPr="00AA0144">
              <w:t> </w:t>
            </w:r>
          </w:p>
        </w:tc>
        <w:tc>
          <w:tcPr>
            <w:tcW w:w="1701" w:type="dxa"/>
            <w:tcBorders>
              <w:top w:val="nil"/>
              <w:left w:val="nil"/>
              <w:bottom w:val="single" w:sz="8" w:space="0" w:color="8EC8BF"/>
              <w:right w:val="single" w:sz="8" w:space="0" w:color="8EC8BF"/>
            </w:tcBorders>
            <w:shd w:val="clear" w:color="000000" w:fill="E2F1EE"/>
            <w:vAlign w:val="center"/>
            <w:hideMark/>
          </w:tcPr>
          <w:p w14:paraId="31314AB3" w14:textId="77777777" w:rsidR="00AA0144" w:rsidRPr="00AA0144" w:rsidRDefault="00AA0144" w:rsidP="00D65CF9">
            <w:pPr>
              <w:pStyle w:val="TableSpacing"/>
            </w:pPr>
            <w:r w:rsidRPr="00AA0144">
              <w:t> </w:t>
            </w:r>
          </w:p>
        </w:tc>
      </w:tr>
      <w:tr w:rsidR="00C355E4" w:rsidRPr="00AA0144" w14:paraId="7A42D626" w14:textId="77777777" w:rsidTr="00750D6A">
        <w:trPr>
          <w:trHeight w:val="367"/>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14E7D2A9" w14:textId="77777777" w:rsidR="00C355E4" w:rsidRPr="00AA0144" w:rsidRDefault="00C355E4" w:rsidP="00D65CF9">
            <w:pPr>
              <w:pStyle w:val="TableSpacing"/>
            </w:pPr>
            <w:r w:rsidRPr="00AA0144">
              <w:t>Risk management and surveillance</w:t>
            </w:r>
          </w:p>
        </w:tc>
        <w:tc>
          <w:tcPr>
            <w:tcW w:w="1559" w:type="dxa"/>
            <w:tcBorders>
              <w:top w:val="nil"/>
              <w:left w:val="nil"/>
              <w:bottom w:val="single" w:sz="8" w:space="0" w:color="8EC8BF"/>
              <w:right w:val="single" w:sz="8" w:space="0" w:color="8EC8BF"/>
            </w:tcBorders>
            <w:shd w:val="clear" w:color="auto" w:fill="auto"/>
            <w:hideMark/>
          </w:tcPr>
          <w:p w14:paraId="1C895A8A" w14:textId="66630083" w:rsidR="00C355E4" w:rsidRPr="00AA0144" w:rsidRDefault="00C355E4" w:rsidP="00D65CF9">
            <w:pPr>
              <w:pStyle w:val="TableSpacing"/>
            </w:pPr>
            <w:r w:rsidRPr="00853AFC">
              <w:t xml:space="preserve">1,897,531 </w:t>
            </w:r>
          </w:p>
        </w:tc>
        <w:tc>
          <w:tcPr>
            <w:tcW w:w="1701" w:type="dxa"/>
            <w:tcBorders>
              <w:top w:val="nil"/>
              <w:left w:val="nil"/>
              <w:bottom w:val="single" w:sz="8" w:space="0" w:color="8EC8BF"/>
              <w:right w:val="single" w:sz="8" w:space="0" w:color="8EC8BF"/>
            </w:tcBorders>
            <w:shd w:val="clear" w:color="auto" w:fill="auto"/>
            <w:hideMark/>
          </w:tcPr>
          <w:p w14:paraId="5C631C00" w14:textId="44B00812" w:rsidR="00C355E4" w:rsidRPr="00AA0144" w:rsidRDefault="00C355E4" w:rsidP="00D65CF9">
            <w:pPr>
              <w:pStyle w:val="TableSpacing"/>
            </w:pPr>
            <w:r w:rsidRPr="00853AFC">
              <w:t xml:space="preserve">569,259 </w:t>
            </w:r>
          </w:p>
        </w:tc>
        <w:tc>
          <w:tcPr>
            <w:tcW w:w="1701" w:type="dxa"/>
            <w:tcBorders>
              <w:top w:val="nil"/>
              <w:left w:val="nil"/>
              <w:bottom w:val="single" w:sz="8" w:space="0" w:color="8EC8BF"/>
              <w:right w:val="single" w:sz="8" w:space="0" w:color="8EC8BF"/>
            </w:tcBorders>
            <w:shd w:val="clear" w:color="auto" w:fill="auto"/>
            <w:hideMark/>
          </w:tcPr>
          <w:p w14:paraId="61360ADC" w14:textId="1A2344DD" w:rsidR="00C355E4" w:rsidRPr="00AA0144" w:rsidRDefault="00C355E4" w:rsidP="00D65CF9">
            <w:pPr>
              <w:pStyle w:val="TableSpacing"/>
            </w:pPr>
            <w:r w:rsidRPr="00853AFC">
              <w:t xml:space="preserve">2,466,790 </w:t>
            </w:r>
          </w:p>
        </w:tc>
      </w:tr>
      <w:tr w:rsidR="00AA0144" w:rsidRPr="00AA0144" w14:paraId="103FFE7C" w14:textId="77777777" w:rsidTr="00750D6A">
        <w:trPr>
          <w:trHeight w:val="221"/>
        </w:trPr>
        <w:tc>
          <w:tcPr>
            <w:tcW w:w="4385" w:type="dxa"/>
            <w:tcBorders>
              <w:top w:val="nil"/>
              <w:left w:val="single" w:sz="8" w:space="0" w:color="8EC8BF"/>
              <w:bottom w:val="single" w:sz="8" w:space="0" w:color="8EC8BF"/>
              <w:right w:val="nil"/>
            </w:tcBorders>
            <w:shd w:val="clear" w:color="000000" w:fill="E2F1EE"/>
            <w:vAlign w:val="center"/>
            <w:hideMark/>
          </w:tcPr>
          <w:p w14:paraId="7665945B" w14:textId="77777777" w:rsidR="00AA0144" w:rsidRPr="00D65CF9" w:rsidRDefault="00AA0144" w:rsidP="00D65CF9">
            <w:pPr>
              <w:pStyle w:val="TableSpacing"/>
              <w:rPr>
                <w:rStyle w:val="Strong"/>
              </w:rPr>
            </w:pPr>
            <w:r w:rsidRPr="00D65CF9">
              <w:rPr>
                <w:rStyle w:val="Strong"/>
              </w:rPr>
              <w:t>Incident management</w:t>
            </w:r>
          </w:p>
        </w:tc>
        <w:tc>
          <w:tcPr>
            <w:tcW w:w="1559" w:type="dxa"/>
            <w:tcBorders>
              <w:top w:val="nil"/>
              <w:left w:val="nil"/>
              <w:bottom w:val="single" w:sz="8" w:space="0" w:color="8EC8BF"/>
              <w:right w:val="nil"/>
            </w:tcBorders>
            <w:shd w:val="clear" w:color="000000" w:fill="E2F1EE"/>
            <w:vAlign w:val="center"/>
            <w:hideMark/>
          </w:tcPr>
          <w:p w14:paraId="31F94E63" w14:textId="77777777" w:rsidR="00AA0144" w:rsidRPr="00AA0144" w:rsidRDefault="00AA0144" w:rsidP="00D65CF9">
            <w:pPr>
              <w:pStyle w:val="TableSpacing"/>
            </w:pPr>
            <w:r w:rsidRPr="00AA0144">
              <w:t> </w:t>
            </w:r>
          </w:p>
        </w:tc>
        <w:tc>
          <w:tcPr>
            <w:tcW w:w="1701" w:type="dxa"/>
            <w:tcBorders>
              <w:top w:val="nil"/>
              <w:left w:val="nil"/>
              <w:bottom w:val="single" w:sz="8" w:space="0" w:color="8EC8BF"/>
              <w:right w:val="nil"/>
            </w:tcBorders>
            <w:shd w:val="clear" w:color="000000" w:fill="E2F1EE"/>
            <w:vAlign w:val="center"/>
            <w:hideMark/>
          </w:tcPr>
          <w:p w14:paraId="4440F206" w14:textId="77777777" w:rsidR="00AA0144" w:rsidRPr="00AA0144" w:rsidRDefault="00AA0144" w:rsidP="00D65CF9">
            <w:pPr>
              <w:pStyle w:val="TableSpacing"/>
            </w:pPr>
            <w:r w:rsidRPr="00AA0144">
              <w:t> </w:t>
            </w:r>
          </w:p>
        </w:tc>
        <w:tc>
          <w:tcPr>
            <w:tcW w:w="1701" w:type="dxa"/>
            <w:tcBorders>
              <w:top w:val="nil"/>
              <w:left w:val="nil"/>
              <w:bottom w:val="single" w:sz="8" w:space="0" w:color="8EC8BF"/>
              <w:right w:val="single" w:sz="8" w:space="0" w:color="8EC8BF"/>
            </w:tcBorders>
            <w:shd w:val="clear" w:color="000000" w:fill="E2F1EE"/>
            <w:vAlign w:val="center"/>
            <w:hideMark/>
          </w:tcPr>
          <w:p w14:paraId="0A91A3A7" w14:textId="77777777" w:rsidR="00AA0144" w:rsidRPr="00AA0144" w:rsidRDefault="00AA0144" w:rsidP="00D65CF9">
            <w:pPr>
              <w:pStyle w:val="TableSpacing"/>
            </w:pPr>
            <w:r w:rsidRPr="00AA0144">
              <w:t> </w:t>
            </w:r>
          </w:p>
        </w:tc>
      </w:tr>
      <w:tr w:rsidR="00C355E4" w:rsidRPr="00AA0144" w14:paraId="4C004A51" w14:textId="77777777" w:rsidTr="00750D6A">
        <w:trPr>
          <w:trHeight w:val="440"/>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02129319" w14:textId="77777777" w:rsidR="00C355E4" w:rsidRPr="00AA0144" w:rsidRDefault="00C355E4" w:rsidP="00D65CF9">
            <w:pPr>
              <w:pStyle w:val="TableSpacing"/>
            </w:pPr>
            <w:r w:rsidRPr="00AA0144">
              <w:t>Investigation support and corrective action</w:t>
            </w:r>
          </w:p>
        </w:tc>
        <w:tc>
          <w:tcPr>
            <w:tcW w:w="1559" w:type="dxa"/>
            <w:tcBorders>
              <w:top w:val="nil"/>
              <w:left w:val="nil"/>
              <w:bottom w:val="single" w:sz="8" w:space="0" w:color="8EC8BF"/>
              <w:right w:val="single" w:sz="8" w:space="0" w:color="8EC8BF"/>
            </w:tcBorders>
            <w:shd w:val="clear" w:color="auto" w:fill="auto"/>
            <w:hideMark/>
          </w:tcPr>
          <w:p w14:paraId="1DA1D477" w14:textId="1D7EED28" w:rsidR="00C355E4" w:rsidRPr="00AA0144" w:rsidRDefault="00C355E4" w:rsidP="00D65CF9">
            <w:pPr>
              <w:pStyle w:val="TableSpacing"/>
            </w:pPr>
            <w:r w:rsidRPr="00853AFC">
              <w:t xml:space="preserve">3,080,702 </w:t>
            </w:r>
          </w:p>
        </w:tc>
        <w:tc>
          <w:tcPr>
            <w:tcW w:w="1701" w:type="dxa"/>
            <w:tcBorders>
              <w:top w:val="nil"/>
              <w:left w:val="nil"/>
              <w:bottom w:val="single" w:sz="8" w:space="0" w:color="8EC8BF"/>
              <w:right w:val="single" w:sz="8" w:space="0" w:color="8EC8BF"/>
            </w:tcBorders>
            <w:shd w:val="clear" w:color="auto" w:fill="auto"/>
            <w:hideMark/>
          </w:tcPr>
          <w:p w14:paraId="64609D6A" w14:textId="68D372AA" w:rsidR="00C355E4" w:rsidRPr="00AA0144" w:rsidRDefault="00C355E4" w:rsidP="00D65CF9">
            <w:pPr>
              <w:pStyle w:val="TableSpacing"/>
            </w:pPr>
            <w:r w:rsidRPr="00853AFC">
              <w:t xml:space="preserve">924,211 </w:t>
            </w:r>
          </w:p>
        </w:tc>
        <w:tc>
          <w:tcPr>
            <w:tcW w:w="1701" w:type="dxa"/>
            <w:tcBorders>
              <w:top w:val="nil"/>
              <w:left w:val="nil"/>
              <w:bottom w:val="single" w:sz="8" w:space="0" w:color="8EC8BF"/>
              <w:right w:val="single" w:sz="8" w:space="0" w:color="8EC8BF"/>
            </w:tcBorders>
            <w:shd w:val="clear" w:color="auto" w:fill="auto"/>
            <w:hideMark/>
          </w:tcPr>
          <w:p w14:paraId="6983E796" w14:textId="1FFAC379" w:rsidR="00C355E4" w:rsidRPr="00AA0144" w:rsidRDefault="00C355E4" w:rsidP="00D65CF9">
            <w:pPr>
              <w:pStyle w:val="TableSpacing"/>
            </w:pPr>
            <w:r w:rsidRPr="00853AFC">
              <w:t xml:space="preserve">4,004,913 </w:t>
            </w:r>
          </w:p>
        </w:tc>
      </w:tr>
      <w:tr w:rsidR="00C355E4" w:rsidRPr="00AA0144" w14:paraId="3551A486" w14:textId="77777777" w:rsidTr="00750D6A">
        <w:trPr>
          <w:trHeight w:val="148"/>
        </w:trPr>
        <w:tc>
          <w:tcPr>
            <w:tcW w:w="4385" w:type="dxa"/>
            <w:tcBorders>
              <w:top w:val="nil"/>
              <w:left w:val="single" w:sz="8" w:space="0" w:color="8EC8BF"/>
              <w:bottom w:val="single" w:sz="8" w:space="0" w:color="8EC8BF"/>
              <w:right w:val="single" w:sz="8" w:space="0" w:color="8EC8BF"/>
            </w:tcBorders>
            <w:shd w:val="clear" w:color="000000" w:fill="B8DCD7"/>
            <w:vAlign w:val="center"/>
            <w:hideMark/>
          </w:tcPr>
          <w:p w14:paraId="4D173CC9" w14:textId="77777777" w:rsidR="00C355E4" w:rsidRPr="00D65CF9" w:rsidRDefault="00C355E4" w:rsidP="00D65CF9">
            <w:pPr>
              <w:pStyle w:val="TableSpacing"/>
              <w:rPr>
                <w:rStyle w:val="Strong"/>
              </w:rPr>
            </w:pPr>
            <w:r w:rsidRPr="00D65CF9">
              <w:rPr>
                <w:rStyle w:val="Strong"/>
              </w:rPr>
              <w:t>Subtotal of activity costs (unrelated to assessments)</w:t>
            </w:r>
          </w:p>
        </w:tc>
        <w:tc>
          <w:tcPr>
            <w:tcW w:w="1559" w:type="dxa"/>
            <w:tcBorders>
              <w:top w:val="nil"/>
              <w:left w:val="nil"/>
              <w:bottom w:val="single" w:sz="8" w:space="0" w:color="8EC8BF"/>
              <w:right w:val="single" w:sz="8" w:space="0" w:color="8EC8BF"/>
            </w:tcBorders>
            <w:shd w:val="clear" w:color="000000" w:fill="B8DCD7"/>
            <w:hideMark/>
          </w:tcPr>
          <w:p w14:paraId="0F83CB02" w14:textId="2B7FD32C" w:rsidR="00C355E4" w:rsidRPr="00D65CF9" w:rsidRDefault="00C355E4" w:rsidP="00D65CF9">
            <w:pPr>
              <w:pStyle w:val="TableSpacing"/>
              <w:rPr>
                <w:rStyle w:val="Strong"/>
              </w:rPr>
            </w:pPr>
            <w:r w:rsidRPr="00D65CF9">
              <w:rPr>
                <w:rStyle w:val="Strong"/>
              </w:rPr>
              <w:t xml:space="preserve">10,273,973 </w:t>
            </w:r>
          </w:p>
        </w:tc>
        <w:tc>
          <w:tcPr>
            <w:tcW w:w="1701" w:type="dxa"/>
            <w:tcBorders>
              <w:top w:val="nil"/>
              <w:left w:val="nil"/>
              <w:bottom w:val="single" w:sz="8" w:space="0" w:color="8EC8BF"/>
              <w:right w:val="single" w:sz="8" w:space="0" w:color="8EC8BF"/>
            </w:tcBorders>
            <w:shd w:val="clear" w:color="000000" w:fill="B8DCD7"/>
            <w:hideMark/>
          </w:tcPr>
          <w:p w14:paraId="4E0FB2FD" w14:textId="4565BC80" w:rsidR="00C355E4" w:rsidRPr="00D65CF9" w:rsidRDefault="00C355E4" w:rsidP="00D65CF9">
            <w:pPr>
              <w:pStyle w:val="TableSpacing"/>
              <w:rPr>
                <w:rStyle w:val="Strong"/>
              </w:rPr>
            </w:pPr>
            <w:r w:rsidRPr="00D65CF9">
              <w:rPr>
                <w:rStyle w:val="Strong"/>
              </w:rPr>
              <w:t xml:space="preserve">3,082,192 </w:t>
            </w:r>
          </w:p>
        </w:tc>
        <w:tc>
          <w:tcPr>
            <w:tcW w:w="1701" w:type="dxa"/>
            <w:tcBorders>
              <w:top w:val="nil"/>
              <w:left w:val="nil"/>
              <w:bottom w:val="single" w:sz="8" w:space="0" w:color="8EC8BF"/>
              <w:right w:val="single" w:sz="8" w:space="0" w:color="8EC8BF"/>
            </w:tcBorders>
            <w:shd w:val="clear" w:color="000000" w:fill="B8DCD7"/>
            <w:hideMark/>
          </w:tcPr>
          <w:p w14:paraId="4B5274A4" w14:textId="1223B018" w:rsidR="00C355E4" w:rsidRPr="00D65CF9" w:rsidRDefault="00C355E4" w:rsidP="00D65CF9">
            <w:pPr>
              <w:pStyle w:val="TableSpacing"/>
              <w:rPr>
                <w:rStyle w:val="Strong"/>
              </w:rPr>
            </w:pPr>
            <w:r w:rsidRPr="00D65CF9">
              <w:rPr>
                <w:rStyle w:val="Strong"/>
              </w:rPr>
              <w:t xml:space="preserve">13,356,165 </w:t>
            </w:r>
          </w:p>
        </w:tc>
      </w:tr>
      <w:tr w:rsidR="00AA0144" w:rsidRPr="00AA0144" w14:paraId="4040CE35" w14:textId="77777777" w:rsidTr="00750D6A">
        <w:trPr>
          <w:trHeight w:val="75"/>
        </w:trPr>
        <w:tc>
          <w:tcPr>
            <w:tcW w:w="4385" w:type="dxa"/>
            <w:tcBorders>
              <w:top w:val="nil"/>
              <w:left w:val="single" w:sz="8" w:space="0" w:color="8EC8BF"/>
              <w:bottom w:val="single" w:sz="8" w:space="0" w:color="8EC8BF"/>
              <w:right w:val="nil"/>
            </w:tcBorders>
            <w:shd w:val="clear" w:color="000000" w:fill="E2F1EE"/>
            <w:vAlign w:val="center"/>
            <w:hideMark/>
          </w:tcPr>
          <w:p w14:paraId="18218691" w14:textId="77777777" w:rsidR="00AA0144" w:rsidRPr="00D65CF9" w:rsidRDefault="00AA0144" w:rsidP="00D65CF9">
            <w:pPr>
              <w:pStyle w:val="TableSpacing"/>
              <w:rPr>
                <w:rStyle w:val="Strong"/>
              </w:rPr>
            </w:pPr>
            <w:r w:rsidRPr="00D65CF9">
              <w:rPr>
                <w:rStyle w:val="Strong"/>
              </w:rPr>
              <w:t>Assessment</w:t>
            </w:r>
          </w:p>
        </w:tc>
        <w:tc>
          <w:tcPr>
            <w:tcW w:w="1559" w:type="dxa"/>
            <w:tcBorders>
              <w:top w:val="nil"/>
              <w:left w:val="nil"/>
              <w:bottom w:val="single" w:sz="8" w:space="0" w:color="8EC8BF"/>
              <w:right w:val="nil"/>
            </w:tcBorders>
            <w:shd w:val="clear" w:color="000000" w:fill="E2F1EE"/>
            <w:vAlign w:val="center"/>
            <w:hideMark/>
          </w:tcPr>
          <w:p w14:paraId="59343301" w14:textId="77777777" w:rsidR="00AA0144" w:rsidRPr="00D65CF9" w:rsidRDefault="00AA0144" w:rsidP="00D65CF9">
            <w:pPr>
              <w:pStyle w:val="TableSpacing"/>
              <w:rPr>
                <w:rStyle w:val="Strong"/>
              </w:rPr>
            </w:pPr>
            <w:r w:rsidRPr="00D65CF9">
              <w:rPr>
                <w:rStyle w:val="Strong"/>
              </w:rPr>
              <w:t> </w:t>
            </w:r>
          </w:p>
        </w:tc>
        <w:tc>
          <w:tcPr>
            <w:tcW w:w="1701" w:type="dxa"/>
            <w:tcBorders>
              <w:top w:val="nil"/>
              <w:left w:val="nil"/>
              <w:bottom w:val="single" w:sz="8" w:space="0" w:color="8EC8BF"/>
              <w:right w:val="nil"/>
            </w:tcBorders>
            <w:shd w:val="clear" w:color="000000" w:fill="E2F1EE"/>
            <w:vAlign w:val="center"/>
            <w:hideMark/>
          </w:tcPr>
          <w:p w14:paraId="42958E65" w14:textId="77777777" w:rsidR="00AA0144" w:rsidRPr="00D65CF9" w:rsidRDefault="00AA0144" w:rsidP="00D65CF9">
            <w:pPr>
              <w:pStyle w:val="TableSpacing"/>
              <w:rPr>
                <w:rStyle w:val="Strong"/>
              </w:rPr>
            </w:pPr>
            <w:r w:rsidRPr="00D65CF9">
              <w:rPr>
                <w:rStyle w:val="Strong"/>
              </w:rPr>
              <w:t> </w:t>
            </w:r>
          </w:p>
        </w:tc>
        <w:tc>
          <w:tcPr>
            <w:tcW w:w="1701" w:type="dxa"/>
            <w:tcBorders>
              <w:top w:val="nil"/>
              <w:left w:val="nil"/>
              <w:bottom w:val="single" w:sz="8" w:space="0" w:color="8EC8BF"/>
              <w:right w:val="single" w:sz="8" w:space="0" w:color="8EC8BF"/>
            </w:tcBorders>
            <w:shd w:val="clear" w:color="000000" w:fill="E2F1EE"/>
            <w:vAlign w:val="center"/>
            <w:hideMark/>
          </w:tcPr>
          <w:p w14:paraId="7E849B25" w14:textId="77777777" w:rsidR="00AA0144" w:rsidRPr="00D65CF9" w:rsidRDefault="00AA0144" w:rsidP="00D65CF9">
            <w:pPr>
              <w:pStyle w:val="TableSpacing"/>
              <w:rPr>
                <w:rStyle w:val="Strong"/>
              </w:rPr>
            </w:pPr>
            <w:r w:rsidRPr="00D65CF9">
              <w:rPr>
                <w:rStyle w:val="Strong"/>
              </w:rPr>
              <w:t> </w:t>
            </w:r>
          </w:p>
        </w:tc>
      </w:tr>
      <w:tr w:rsidR="00AA0144" w:rsidRPr="00AA0144" w14:paraId="1759361E" w14:textId="77777777" w:rsidTr="00750D6A">
        <w:trPr>
          <w:trHeight w:val="148"/>
        </w:trPr>
        <w:tc>
          <w:tcPr>
            <w:tcW w:w="4385" w:type="dxa"/>
            <w:tcBorders>
              <w:top w:val="nil"/>
              <w:left w:val="single" w:sz="8" w:space="0" w:color="8EC8BF"/>
              <w:bottom w:val="single" w:sz="8" w:space="0" w:color="8EC8BF"/>
              <w:right w:val="single" w:sz="8" w:space="0" w:color="8EC8BF"/>
            </w:tcBorders>
            <w:shd w:val="clear" w:color="auto" w:fill="auto"/>
            <w:vAlign w:val="center"/>
            <w:hideMark/>
          </w:tcPr>
          <w:p w14:paraId="11339329" w14:textId="77777777" w:rsidR="00AA0144" w:rsidRPr="00D65CF9" w:rsidRDefault="00AA0144" w:rsidP="00D65CF9">
            <w:pPr>
              <w:pStyle w:val="TableSpacing"/>
              <w:rPr>
                <w:rStyle w:val="Strong"/>
              </w:rPr>
            </w:pPr>
            <w:r w:rsidRPr="00D65CF9">
              <w:rPr>
                <w:rStyle w:val="Strong"/>
              </w:rPr>
              <w:t>Assessing export licence applications</w:t>
            </w:r>
          </w:p>
        </w:tc>
        <w:tc>
          <w:tcPr>
            <w:tcW w:w="1559" w:type="dxa"/>
            <w:tcBorders>
              <w:top w:val="nil"/>
              <w:left w:val="nil"/>
              <w:bottom w:val="single" w:sz="8" w:space="0" w:color="8EC8BF"/>
              <w:right w:val="single" w:sz="8" w:space="0" w:color="8EC8BF"/>
            </w:tcBorders>
            <w:shd w:val="clear" w:color="auto" w:fill="auto"/>
            <w:vAlign w:val="center"/>
            <w:hideMark/>
          </w:tcPr>
          <w:p w14:paraId="02A13F73" w14:textId="77777777" w:rsidR="00AA0144" w:rsidRPr="00D65CF9" w:rsidRDefault="00AA0144" w:rsidP="00D65CF9">
            <w:pPr>
              <w:pStyle w:val="TableSpacing"/>
              <w:rPr>
                <w:rStyle w:val="Strong"/>
              </w:rPr>
            </w:pPr>
            <w:r w:rsidRPr="00D65CF9">
              <w:rPr>
                <w:rStyle w:val="Strong"/>
              </w:rPr>
              <w:t>2,260,403</w:t>
            </w:r>
          </w:p>
        </w:tc>
        <w:tc>
          <w:tcPr>
            <w:tcW w:w="1701" w:type="dxa"/>
            <w:tcBorders>
              <w:top w:val="nil"/>
              <w:left w:val="nil"/>
              <w:bottom w:val="single" w:sz="8" w:space="0" w:color="8EC8BF"/>
              <w:right w:val="single" w:sz="8" w:space="0" w:color="8EC8BF"/>
            </w:tcBorders>
            <w:shd w:val="clear" w:color="auto" w:fill="auto"/>
            <w:vAlign w:val="center"/>
            <w:hideMark/>
          </w:tcPr>
          <w:p w14:paraId="7F0BD10D" w14:textId="77777777" w:rsidR="00AA0144" w:rsidRPr="00D65CF9" w:rsidRDefault="00AA0144" w:rsidP="00D65CF9">
            <w:pPr>
              <w:pStyle w:val="TableSpacing"/>
              <w:rPr>
                <w:rStyle w:val="Strong"/>
              </w:rPr>
            </w:pPr>
            <w:r w:rsidRPr="00D65CF9">
              <w:rPr>
                <w:rStyle w:val="Strong"/>
              </w:rPr>
              <w:t>278,314</w:t>
            </w:r>
          </w:p>
        </w:tc>
        <w:tc>
          <w:tcPr>
            <w:tcW w:w="1701" w:type="dxa"/>
            <w:tcBorders>
              <w:top w:val="nil"/>
              <w:left w:val="nil"/>
              <w:bottom w:val="single" w:sz="8" w:space="0" w:color="8EC8BF"/>
              <w:right w:val="single" w:sz="8" w:space="0" w:color="8EC8BF"/>
            </w:tcBorders>
            <w:shd w:val="clear" w:color="auto" w:fill="auto"/>
            <w:vAlign w:val="center"/>
            <w:hideMark/>
          </w:tcPr>
          <w:p w14:paraId="035FDB5C" w14:textId="77777777" w:rsidR="00AA0144" w:rsidRPr="00D65CF9" w:rsidRDefault="00AA0144" w:rsidP="00D65CF9">
            <w:pPr>
              <w:pStyle w:val="TableSpacing"/>
              <w:rPr>
                <w:rStyle w:val="Strong"/>
              </w:rPr>
            </w:pPr>
            <w:r w:rsidRPr="00D65CF9">
              <w:rPr>
                <w:rStyle w:val="Strong"/>
              </w:rPr>
              <w:t>2,538,717</w:t>
            </w:r>
          </w:p>
        </w:tc>
      </w:tr>
      <w:tr w:rsidR="00C355E4" w:rsidRPr="00AA0144" w14:paraId="5F582C26" w14:textId="77777777" w:rsidTr="00750D6A">
        <w:trPr>
          <w:trHeight w:val="282"/>
        </w:trPr>
        <w:tc>
          <w:tcPr>
            <w:tcW w:w="4385" w:type="dxa"/>
            <w:tcBorders>
              <w:top w:val="nil"/>
              <w:left w:val="single" w:sz="8" w:space="0" w:color="8EC8BF"/>
              <w:bottom w:val="single" w:sz="8" w:space="0" w:color="8EC8BF"/>
              <w:right w:val="single" w:sz="8" w:space="0" w:color="8EC8BF"/>
            </w:tcBorders>
            <w:shd w:val="clear" w:color="000000" w:fill="B8DCD7"/>
            <w:vAlign w:val="center"/>
            <w:hideMark/>
          </w:tcPr>
          <w:p w14:paraId="33EE73CB" w14:textId="1AACA6EA" w:rsidR="00C355E4" w:rsidRPr="00D65CF9" w:rsidRDefault="00C355E4" w:rsidP="00D65CF9">
            <w:pPr>
              <w:pStyle w:val="TableSpacing"/>
              <w:rPr>
                <w:rStyle w:val="Strong"/>
              </w:rPr>
            </w:pPr>
            <w:r w:rsidRPr="00D65CF9">
              <w:rPr>
                <w:rStyle w:val="Strong"/>
              </w:rPr>
              <w:t>Total</w:t>
            </w:r>
          </w:p>
        </w:tc>
        <w:tc>
          <w:tcPr>
            <w:tcW w:w="1559" w:type="dxa"/>
            <w:tcBorders>
              <w:top w:val="nil"/>
              <w:left w:val="nil"/>
              <w:bottom w:val="single" w:sz="8" w:space="0" w:color="8EC8BF"/>
              <w:right w:val="single" w:sz="8" w:space="0" w:color="8EC8BF"/>
            </w:tcBorders>
            <w:shd w:val="clear" w:color="000000" w:fill="B8DCD7"/>
            <w:vAlign w:val="bottom"/>
            <w:hideMark/>
          </w:tcPr>
          <w:p w14:paraId="5DDD0D2F" w14:textId="7F8A626E" w:rsidR="00C355E4" w:rsidRPr="00D65CF9" w:rsidRDefault="00C355E4" w:rsidP="00D65CF9">
            <w:pPr>
              <w:pStyle w:val="TableSpacing"/>
              <w:rPr>
                <w:rStyle w:val="Strong"/>
              </w:rPr>
            </w:pPr>
            <w:r w:rsidRPr="00D65CF9">
              <w:rPr>
                <w:rStyle w:val="Strong"/>
              </w:rPr>
              <w:t xml:space="preserve">12,534,376 </w:t>
            </w:r>
          </w:p>
        </w:tc>
        <w:tc>
          <w:tcPr>
            <w:tcW w:w="1701" w:type="dxa"/>
            <w:tcBorders>
              <w:top w:val="nil"/>
              <w:left w:val="nil"/>
              <w:bottom w:val="single" w:sz="8" w:space="0" w:color="8EC8BF"/>
              <w:right w:val="single" w:sz="8" w:space="0" w:color="8EC8BF"/>
            </w:tcBorders>
            <w:shd w:val="clear" w:color="000000" w:fill="B8DCD7"/>
            <w:vAlign w:val="bottom"/>
            <w:hideMark/>
          </w:tcPr>
          <w:p w14:paraId="044FA722" w14:textId="4AA26C30" w:rsidR="00C355E4" w:rsidRPr="00D65CF9" w:rsidRDefault="00C355E4" w:rsidP="00D65CF9">
            <w:pPr>
              <w:pStyle w:val="TableSpacing"/>
              <w:rPr>
                <w:rStyle w:val="Strong"/>
              </w:rPr>
            </w:pPr>
            <w:r w:rsidRPr="00D65CF9">
              <w:rPr>
                <w:rStyle w:val="Strong"/>
              </w:rPr>
              <w:t xml:space="preserve">3,360,506 </w:t>
            </w:r>
          </w:p>
        </w:tc>
        <w:tc>
          <w:tcPr>
            <w:tcW w:w="1701" w:type="dxa"/>
            <w:tcBorders>
              <w:top w:val="nil"/>
              <w:left w:val="nil"/>
              <w:bottom w:val="single" w:sz="8" w:space="0" w:color="8EC8BF"/>
              <w:right w:val="single" w:sz="8" w:space="0" w:color="8EC8BF"/>
            </w:tcBorders>
            <w:shd w:val="clear" w:color="000000" w:fill="B8DCD7"/>
            <w:vAlign w:val="bottom"/>
            <w:hideMark/>
          </w:tcPr>
          <w:p w14:paraId="7ECB7BC5" w14:textId="2EBB285C" w:rsidR="00C355E4" w:rsidRPr="00D65CF9" w:rsidRDefault="00C355E4" w:rsidP="00D65CF9">
            <w:pPr>
              <w:pStyle w:val="TableSpacing"/>
              <w:rPr>
                <w:rStyle w:val="Strong"/>
              </w:rPr>
            </w:pPr>
            <w:r w:rsidRPr="00D65CF9">
              <w:rPr>
                <w:rStyle w:val="Strong"/>
              </w:rPr>
              <w:t xml:space="preserve">15,894,882 </w:t>
            </w:r>
          </w:p>
        </w:tc>
      </w:tr>
    </w:tbl>
    <w:p w14:paraId="2538D50D" w14:textId="12670E42" w:rsidR="001A6DD6" w:rsidRDefault="001A6DD6" w:rsidP="00D65CF9">
      <w:pPr>
        <w:pStyle w:val="Heading3"/>
        <w:spacing w:before="200"/>
      </w:pPr>
      <w:bookmarkStart w:id="16" w:name="_Toc116383699"/>
      <w:r>
        <w:t>Assumptions underpinning the cost models</w:t>
      </w:r>
      <w:bookmarkEnd w:id="16"/>
    </w:p>
    <w:p w14:paraId="392F7B91" w14:textId="719D60C8" w:rsidR="001A6DD6" w:rsidRDefault="001A6DD6" w:rsidP="00D65CF9">
      <w:pPr>
        <w:pStyle w:val="Heading4"/>
      </w:pPr>
      <w:r w:rsidRPr="000B3B46">
        <w:t>Demand</w:t>
      </w:r>
    </w:p>
    <w:p w14:paraId="502F629A" w14:textId="7C7220EA" w:rsidR="001A6DD6" w:rsidRDefault="001A6DD6" w:rsidP="00D65CF9">
      <w:r w:rsidRPr="00B26208">
        <w:t xml:space="preserve">Some activities, such as developing guidance, standard operating procedures and policy development are fixed costs and do not scale with the number of businesses, consignments or </w:t>
      </w:r>
      <w:r>
        <w:t>weights</w:t>
      </w:r>
      <w:r w:rsidRPr="00B26208">
        <w:t xml:space="preserve"> exported. </w:t>
      </w:r>
    </w:p>
    <w:p w14:paraId="5A8100DD" w14:textId="77777777" w:rsidR="001A6DD6" w:rsidRDefault="001A6DD6" w:rsidP="00D65CF9">
      <w:r>
        <w:t>A</w:t>
      </w:r>
      <w:r w:rsidRPr="00B26208">
        <w:t xml:space="preserve">ctivities such as licence assessments and compliance activities will scale with the demand of the scheme and will drive costs. An estimate of the demand of number of businesses, consignments and </w:t>
      </w:r>
      <w:r>
        <w:t>weights of exports</w:t>
      </w:r>
      <w:r w:rsidRPr="00B26208">
        <w:t xml:space="preserve"> </w:t>
      </w:r>
      <w:r>
        <w:t>was</w:t>
      </w:r>
      <w:r w:rsidRPr="00B26208">
        <w:t xml:space="preserve"> required to </w:t>
      </w:r>
      <w:r>
        <w:t>forecast</w:t>
      </w:r>
      <w:r w:rsidRPr="00B26208">
        <w:t xml:space="preserve"> the expense base.</w:t>
      </w:r>
    </w:p>
    <w:p w14:paraId="1B81626B" w14:textId="511BD2D7" w:rsidR="001A6DD6" w:rsidRDefault="001A6DD6" w:rsidP="00D65CF9">
      <w:r>
        <w:t xml:space="preserve">For glass, plastics and tyres the demand in future years can be estimated based on the existing number of participants in the scheme. Under the </w:t>
      </w:r>
      <w:proofErr w:type="spellStart"/>
      <w:r>
        <w:t>RaWR</w:t>
      </w:r>
      <w:proofErr w:type="spellEnd"/>
      <w:r>
        <w:t xml:space="preserve"> Act, licences can be issued for a maximum of three years and exemptions for a maximum of one year. </w:t>
      </w:r>
    </w:p>
    <w:p w14:paraId="7F4D8EC7" w14:textId="404AC2FF" w:rsidR="009A504A" w:rsidRPr="00AB7156" w:rsidRDefault="008A03CD" w:rsidP="009A504A">
      <w:pPr>
        <w:rPr>
          <w:lang w:eastAsia="en-AU"/>
        </w:rPr>
      </w:pPr>
      <w:r>
        <w:t>Within the last 18 months</w:t>
      </w:r>
      <w:r w:rsidR="009A504A" w:rsidRPr="00AB7156">
        <w:t xml:space="preserve"> a total of 224 applications </w:t>
      </w:r>
      <w:r>
        <w:t>were</w:t>
      </w:r>
      <w:r w:rsidR="009A504A" w:rsidRPr="00AB7156">
        <w:t xml:space="preserve"> </w:t>
      </w:r>
      <w:r w:rsidR="00D27905">
        <w:t>made in</w:t>
      </w:r>
      <w:r w:rsidR="009A504A" w:rsidRPr="00AB7156">
        <w:t xml:space="preserve"> the </w:t>
      </w:r>
      <w:r w:rsidR="00FD6E90">
        <w:t>department’s client licensing portal</w:t>
      </w:r>
      <w:r w:rsidR="009A504A" w:rsidRPr="00AB7156">
        <w:t>, resulting in 120 decisions to grant licences, exemptions and variations across the first three waste streams. Importantly there were peaks and troughs of application activity associated with the introduction of regulation</w:t>
      </w:r>
      <w:r w:rsidR="00CA6E6D">
        <w:t xml:space="preserve"> of each stream</w:t>
      </w:r>
      <w:r w:rsidR="009A504A" w:rsidRPr="00AB7156">
        <w:t>, which we would expect to be replicated when licence renewals are due</w:t>
      </w:r>
      <w:r w:rsidR="00CA6E6D">
        <w:t>, three years after they were granted</w:t>
      </w:r>
      <w:r w:rsidR="009A504A" w:rsidRPr="00AB7156">
        <w:t xml:space="preserve">. It is currently difficult to estimate a likely annual application rate due to a range of influencing factors including the introduction of cost recovery, and the potential for changes in market conditions which may drive increased export activity and demand for licences. </w:t>
      </w:r>
    </w:p>
    <w:p w14:paraId="7FCD530B" w14:textId="68BAC507" w:rsidR="001A6DD6" w:rsidRPr="004C0E3F" w:rsidRDefault="001A6DD6" w:rsidP="00D65CF9">
      <w:r>
        <w:lastRenderedPageBreak/>
        <w:t>For paper and cardboard, to estimate the number of businesses, consignments and weights of exports that may be captured by the licens</w:t>
      </w:r>
      <w:r w:rsidRPr="00B26208">
        <w:t xml:space="preserve">ing </w:t>
      </w:r>
      <w:r>
        <w:t xml:space="preserve">and declaration </w:t>
      </w:r>
      <w:r w:rsidRPr="00B26208">
        <w:t>scheme</w:t>
      </w:r>
      <w:r>
        <w:t>, the department analysed five years of export data. This data was provided by the Australia</w:t>
      </w:r>
      <w:r w:rsidR="00BA696D">
        <w:t>n</w:t>
      </w:r>
      <w:r>
        <w:t xml:space="preserve"> Border Force</w:t>
      </w:r>
      <w:r w:rsidR="008A383F">
        <w:t xml:space="preserve"> and based on the Australian </w:t>
      </w:r>
      <w:r w:rsidR="00E3142B" w:rsidRPr="004C0E3F">
        <w:t>Harmonized Export Commodity Classification (AHECC) Codes</w:t>
      </w:r>
      <w:r w:rsidRPr="004C0E3F">
        <w:t xml:space="preserve">. </w:t>
      </w:r>
    </w:p>
    <w:p w14:paraId="2C280829" w14:textId="6E57F4AD" w:rsidR="001A6DD6" w:rsidRDefault="001A6DD6" w:rsidP="00D65CF9">
      <w:r w:rsidRPr="004C0E3F">
        <w:t xml:space="preserve">Based on these assumptions, the department estimates there will be </w:t>
      </w:r>
      <w:r w:rsidR="004C0E3F" w:rsidRPr="004C0E3F">
        <w:t>108</w:t>
      </w:r>
      <w:r w:rsidRPr="004C0E3F">
        <w:t xml:space="preserve"> businesses regulated, across </w:t>
      </w:r>
      <w:r w:rsidR="003D6660" w:rsidRPr="004C0E3F">
        <w:t>glass, plastics and tyres</w:t>
      </w:r>
      <w:r w:rsidRPr="004C0E3F">
        <w:t>, in 2023</w:t>
      </w:r>
      <w:r w:rsidRPr="004C0E3F">
        <w:softHyphen/>
      </w:r>
      <w:r w:rsidRPr="004C0E3F">
        <w:noBreakHyphen/>
        <w:t>2024</w:t>
      </w:r>
      <w:r w:rsidR="009A504A" w:rsidRPr="004C0E3F">
        <w:t>. This figure will increase to approximately 1</w:t>
      </w:r>
      <w:r w:rsidR="004C0E3F" w:rsidRPr="004C0E3F">
        <w:t>34</w:t>
      </w:r>
      <w:r w:rsidR="009A504A" w:rsidRPr="004C0E3F">
        <w:t xml:space="preserve"> businesses</w:t>
      </w:r>
      <w:r w:rsidR="003D6660" w:rsidRPr="004C0E3F">
        <w:t>,</w:t>
      </w:r>
      <w:r w:rsidR="009A504A" w:rsidRPr="004C0E3F">
        <w:t xml:space="preserve"> due to the regulation of paper and cardboard</w:t>
      </w:r>
      <w:r w:rsidR="003D6660" w:rsidRPr="004C0E3F">
        <w:t xml:space="preserve">, in 2024-25. </w:t>
      </w:r>
    </w:p>
    <w:p w14:paraId="706216C6" w14:textId="0BEA92FC" w:rsidR="001A6DD6" w:rsidRDefault="001A6DD6" w:rsidP="00D65CF9">
      <w:r>
        <w:t>I</w:t>
      </w:r>
      <w:r w:rsidRPr="00C75427">
        <w:t xml:space="preserve">t is estimated </w:t>
      </w:r>
      <w:r w:rsidR="004C0E3F">
        <w:t>981</w:t>
      </w:r>
      <w:r w:rsidRPr="00C75427">
        <w:t xml:space="preserve"> million tonnes of processed waste material</w:t>
      </w:r>
      <w:r w:rsidR="00E3142B">
        <w:t xml:space="preserve">, across all </w:t>
      </w:r>
      <w:r w:rsidR="00761EBE">
        <w:t xml:space="preserve">regulated material </w:t>
      </w:r>
      <w:r w:rsidR="00E3142B">
        <w:t>types,</w:t>
      </w:r>
      <w:r w:rsidRPr="00C75427">
        <w:t xml:space="preserve"> will be exported</w:t>
      </w:r>
      <w:r w:rsidR="00686410">
        <w:t xml:space="preserve"> from when the scheme </w:t>
      </w:r>
      <w:r w:rsidR="008A03CD">
        <w:t>commences</w:t>
      </w:r>
      <w:r w:rsidR="00686410">
        <w:t xml:space="preserve"> </w:t>
      </w:r>
      <w:r w:rsidR="004C0E3F">
        <w:t xml:space="preserve">to the 2024-25 financial year. </w:t>
      </w:r>
    </w:p>
    <w:p w14:paraId="7A5C4CD9" w14:textId="0354B4D3" w:rsidR="00D27905" w:rsidRDefault="00D27905" w:rsidP="00D65CF9">
      <w:pPr>
        <w:pStyle w:val="Heading4"/>
      </w:pPr>
      <w:r>
        <w:t>Increasing scheme maturity</w:t>
      </w:r>
    </w:p>
    <w:p w14:paraId="3798562F" w14:textId="0598DE20" w:rsidR="00D27905" w:rsidRDefault="00BF7506" w:rsidP="00D27905">
      <w:pPr>
        <w:spacing w:after="0"/>
        <w:jc w:val="both"/>
      </w:pPr>
      <w:r>
        <w:t>As the scheme has matured, t</w:t>
      </w:r>
      <w:r w:rsidR="00D27905" w:rsidRPr="00BF7506">
        <w:t xml:space="preserve">he department has observed a </w:t>
      </w:r>
      <w:r>
        <w:t>decrease</w:t>
      </w:r>
      <w:r w:rsidR="00D27905" w:rsidRPr="00BF7506">
        <w:t xml:space="preserve"> in the time taken </w:t>
      </w:r>
      <w:r>
        <w:t>per</w:t>
      </w:r>
      <w:r w:rsidR="00D27905" w:rsidRPr="00BF7506">
        <w:t xml:space="preserve"> assessment. The scheme has, and will continue to, improve assessment procedures, and build information</w:t>
      </w:r>
      <w:r w:rsidR="00D27905" w:rsidRPr="00FE6D64">
        <w:t xml:space="preserve"> libraries and staff knowledge, re</w:t>
      </w:r>
      <w:r w:rsidR="00BA696D">
        <w:t xml:space="preserve">ducing </w:t>
      </w:r>
      <w:r w:rsidR="00D27905" w:rsidRPr="00FE6D64">
        <w:t xml:space="preserve">time required to complete assessments in each phase of the scheme’s implementation. </w:t>
      </w:r>
      <w:r w:rsidR="00D27905">
        <w:t>Importantly, assessment time is also expected to reduce as exporters build their knowledge of the scheme’s legislative requirements and familiarity with the department’s systems and processes. At some point, these efficiency gains will plateau.</w:t>
      </w:r>
    </w:p>
    <w:p w14:paraId="48A34B7F" w14:textId="77777777" w:rsidR="00BF7506" w:rsidRDefault="00BF7506" w:rsidP="00BF7506">
      <w:pPr>
        <w:spacing w:after="0"/>
        <w:jc w:val="both"/>
      </w:pPr>
    </w:p>
    <w:p w14:paraId="7DFF8137" w14:textId="1094B76D" w:rsidR="00D27905" w:rsidRDefault="00D27905" w:rsidP="00D65CF9">
      <w:r w:rsidRPr="00CF4DF2">
        <w:t xml:space="preserve">By </w:t>
      </w:r>
      <w:r>
        <w:t xml:space="preserve">1 July 2023 (when </w:t>
      </w:r>
      <w:r w:rsidRPr="00CF4DF2">
        <w:t>charging commences</w:t>
      </w:r>
      <w:r>
        <w:t>)</w:t>
      </w:r>
      <w:r w:rsidRPr="00CF4DF2">
        <w:t xml:space="preserve"> the scheme will have matured further, and it is reasonable to assume that the time to complete an assessment will be significantly less. </w:t>
      </w:r>
      <w:r>
        <w:t xml:space="preserve"> </w:t>
      </w:r>
      <w:r w:rsidRPr="00FE6D64">
        <w:t>It is estimated that</w:t>
      </w:r>
      <w:r>
        <w:t>,</w:t>
      </w:r>
      <w:r w:rsidRPr="00FE6D64">
        <w:t xml:space="preserve"> </w:t>
      </w:r>
      <w:r>
        <w:t>when charging commences</w:t>
      </w:r>
      <w:r w:rsidRPr="00FE6D64">
        <w:t xml:space="preserve">, the effort required will </w:t>
      </w:r>
      <w:r>
        <w:t xml:space="preserve">have </w:t>
      </w:r>
      <w:r w:rsidRPr="00FE6D64">
        <w:t>reduce</w:t>
      </w:r>
      <w:r>
        <w:t>d</w:t>
      </w:r>
      <w:r w:rsidRPr="00FE6D64">
        <w:t xml:space="preserve"> by 3</w:t>
      </w:r>
      <w:r>
        <w:t>5</w:t>
      </w:r>
      <w:r w:rsidRPr="00FE6D64">
        <w:t xml:space="preserve"> per cent </w:t>
      </w:r>
      <w:r>
        <w:t>compared to</w:t>
      </w:r>
      <w:r w:rsidRPr="00FE6D64">
        <w:t xml:space="preserve"> the </w:t>
      </w:r>
      <w:r>
        <w:t>past</w:t>
      </w:r>
      <w:r w:rsidRPr="00FE6D64">
        <w:t xml:space="preserve"> levels</w:t>
      </w:r>
      <w:r>
        <w:t xml:space="preserve"> for licence and licence variation applications</w:t>
      </w:r>
      <w:r w:rsidRPr="00FE6D64">
        <w:t>.</w:t>
      </w:r>
      <w:r>
        <w:t xml:space="preserve"> The level of assessment for exemptions is estimated to reduce by a slightly lower proportion than licences, 30 per cent, because exemption applications will continue to raise novel situations </w:t>
      </w:r>
      <w:r w:rsidR="00BA696D">
        <w:t xml:space="preserve">meaning </w:t>
      </w:r>
      <w:r>
        <w:t xml:space="preserve">there is less opportunity to learn from past assessments and build standard procedures. </w:t>
      </w:r>
    </w:p>
    <w:p w14:paraId="73816268" w14:textId="34F40DB6" w:rsidR="00D27905" w:rsidRDefault="00D27905" w:rsidP="00D65CF9">
      <w:r>
        <w:t>The cost models assume that</w:t>
      </w:r>
      <w:r w:rsidR="005A593A">
        <w:t xml:space="preserve"> these efficiency gains will be fully in place by 1 July 2023 and do not assume further efficiency gains after that point. However, the department will continue to record time taken on assessments and will review costs annually to ensure they remain accurate.</w:t>
      </w:r>
    </w:p>
    <w:p w14:paraId="5DBDEA4E" w14:textId="5D787585" w:rsidR="001A6DD6" w:rsidRPr="00B41C59" w:rsidRDefault="001A6DD6" w:rsidP="00D7571B">
      <w:pPr>
        <w:pStyle w:val="Heading1"/>
      </w:pPr>
      <w:bookmarkStart w:id="17" w:name="_Toc116383700"/>
      <w:r>
        <w:t>Cost Models</w:t>
      </w:r>
      <w:bookmarkEnd w:id="17"/>
    </w:p>
    <w:p w14:paraId="7F8BD2AB" w14:textId="77777777" w:rsidR="001A6DD6" w:rsidRPr="002421AC" w:rsidRDefault="001A6DD6" w:rsidP="00D7571B">
      <w:pPr>
        <w:pStyle w:val="Heading2"/>
      </w:pPr>
      <w:bookmarkStart w:id="18" w:name="_Toc116383701"/>
      <w:r w:rsidRPr="002421AC">
        <w:t>Overview</w:t>
      </w:r>
      <w:bookmarkEnd w:id="18"/>
      <w:r w:rsidRPr="002421AC">
        <w:t xml:space="preserve"> </w:t>
      </w:r>
    </w:p>
    <w:p w14:paraId="4051884C" w14:textId="4F45CE18" w:rsidR="001A6DD6" w:rsidRDefault="001A6DD6" w:rsidP="00D65CF9">
      <w:r w:rsidRPr="000F3F15">
        <w:t xml:space="preserve">Under the Charging Framework, where specific demand for a government activity is created by identifiable individuals or groups, they should be charged for it unless the government has decided to fund that activity. </w:t>
      </w:r>
      <w:r w:rsidR="00A341B4">
        <w:t>The department has determined that a</w:t>
      </w:r>
      <w:r w:rsidR="003E4583" w:rsidRPr="000F3F15">
        <w:t xml:space="preserve"> fee </w:t>
      </w:r>
      <w:r w:rsidR="00A341B4">
        <w:t xml:space="preserve">is </w:t>
      </w:r>
      <w:r w:rsidR="003E4583" w:rsidRPr="000F3F15">
        <w:t>the most appropriate form of cost recovery for assessment of applications because there is a service provided to an identifiable recipient</w:t>
      </w:r>
      <w:r w:rsidR="003E4583">
        <w:t>.</w:t>
      </w:r>
      <w:r w:rsidR="003E4583" w:rsidRPr="000F3F15">
        <w:t xml:space="preserve"> </w:t>
      </w:r>
      <w:r w:rsidRPr="000F3F15">
        <w:t>The amount charged should be no more than the full and efficient cost of the activity.</w:t>
      </w:r>
      <w:r>
        <w:t xml:space="preserve"> </w:t>
      </w:r>
      <w:r w:rsidR="004479D3">
        <w:br/>
      </w:r>
      <w:r>
        <w:t xml:space="preserve">To date, industry has not been charged under the </w:t>
      </w:r>
      <w:r w:rsidR="004479D3">
        <w:t>waste export licencing and declaration s</w:t>
      </w:r>
      <w:r>
        <w:t xml:space="preserve">cheme. </w:t>
      </w:r>
    </w:p>
    <w:p w14:paraId="18F2DD68" w14:textId="77777777" w:rsidR="004479D3" w:rsidRDefault="004479D3">
      <w:pPr>
        <w:spacing w:after="160"/>
        <w:rPr>
          <w:rFonts w:cstheme="minorHAnsi"/>
        </w:rPr>
      </w:pPr>
      <w:r>
        <w:rPr>
          <w:rFonts w:cstheme="minorHAnsi"/>
        </w:rPr>
        <w:br w:type="page"/>
      </w:r>
    </w:p>
    <w:p w14:paraId="34606A38" w14:textId="7E68E3AA" w:rsidR="001A6DD6" w:rsidRPr="00F1790F" w:rsidRDefault="001A6DD6" w:rsidP="00D65CF9">
      <w:r w:rsidRPr="00F1790F">
        <w:rPr>
          <w:rFonts w:cstheme="minorHAnsi"/>
        </w:rPr>
        <w:lastRenderedPageBreak/>
        <w:t>The department is proposing to charge for a</w:t>
      </w:r>
      <w:r w:rsidRPr="00F1790F">
        <w:t xml:space="preserve">ssessing licence applications, including for renewals, exemptions and variations. This is </w:t>
      </w:r>
      <w:r w:rsidR="004251AC" w:rsidRPr="00F1790F">
        <w:t xml:space="preserve">a </w:t>
      </w:r>
      <w:r w:rsidRPr="00F1790F">
        <w:t>core regulatory activity of the scheme. Costed activities in the licence assessment process include:</w:t>
      </w:r>
    </w:p>
    <w:p w14:paraId="24E9C44B" w14:textId="0B96F2AE" w:rsidR="009A7AE4" w:rsidRPr="00F1790F" w:rsidRDefault="001A6DD6" w:rsidP="00D65CF9">
      <w:pPr>
        <w:pStyle w:val="Bulletpoints"/>
      </w:pPr>
      <w:r w:rsidRPr="00F1790F">
        <w:t>ensuring the applicant has provided all necessary document</w:t>
      </w:r>
      <w:r w:rsidR="00BF7506">
        <w:t>s</w:t>
      </w:r>
      <w:r w:rsidR="00FB63F3">
        <w:t>;</w:t>
      </w:r>
    </w:p>
    <w:p w14:paraId="6C6E4D2B" w14:textId="61ADB00E" w:rsidR="009A7AE4" w:rsidRPr="00F1790F" w:rsidRDefault="001A6DD6" w:rsidP="00D65CF9">
      <w:pPr>
        <w:pStyle w:val="Bulletpoints"/>
      </w:pPr>
      <w:r w:rsidRPr="00F1790F">
        <w:t>assessing the application, including requesting further information, responding to enquiries and developing licence conditions</w:t>
      </w:r>
      <w:r w:rsidR="00FB63F3">
        <w:t>;</w:t>
      </w:r>
    </w:p>
    <w:p w14:paraId="272DB2CE" w14:textId="5053304C" w:rsidR="009A7AE4" w:rsidRPr="00F1790F" w:rsidRDefault="001A6DD6" w:rsidP="00D65CF9">
      <w:pPr>
        <w:pStyle w:val="Bulletpoints"/>
      </w:pPr>
      <w:r w:rsidRPr="00F1790F">
        <w:t>briefing the Minister or the delegate of the Minister as the decision maker and notifying the applicant of the outcome</w:t>
      </w:r>
      <w:r w:rsidR="00FB63F3">
        <w:t>;</w:t>
      </w:r>
      <w:r w:rsidR="00BF7506">
        <w:t xml:space="preserve"> and</w:t>
      </w:r>
    </w:p>
    <w:p w14:paraId="4D2E2167" w14:textId="59A5F2E9" w:rsidR="00D12AC1" w:rsidRPr="00633E1D" w:rsidRDefault="001A6DD6" w:rsidP="00D65CF9">
      <w:pPr>
        <w:pStyle w:val="Bulletpoints"/>
        <w:rPr>
          <w:rFonts w:cstheme="minorHAnsi"/>
        </w:rPr>
      </w:pPr>
      <w:r w:rsidRPr="00F1790F">
        <w:t>internal review and appeals processes</w:t>
      </w:r>
      <w:r w:rsidR="00454725" w:rsidRPr="00F1790F">
        <w:t>.</w:t>
      </w:r>
    </w:p>
    <w:p w14:paraId="7B6A7EED" w14:textId="6FFE81E9" w:rsidR="001A6DD6" w:rsidRPr="002E3F7E" w:rsidRDefault="001A6DD6" w:rsidP="00D65CF9">
      <w:r>
        <w:t xml:space="preserve">On </w:t>
      </w:r>
      <w:r w:rsidR="003721A4">
        <w:t>20 December 2020</w:t>
      </w:r>
      <w:r>
        <w:t>, a</w:t>
      </w:r>
      <w:r w:rsidRPr="002E3F7E">
        <w:t xml:space="preserve">ssessment activity </w:t>
      </w:r>
      <w:r>
        <w:t xml:space="preserve">commenced </w:t>
      </w:r>
      <w:r w:rsidRPr="002E3F7E">
        <w:t>for waste export licences</w:t>
      </w:r>
      <w:r w:rsidR="003721A4">
        <w:t xml:space="preserve"> with receipt of the first licence application</w:t>
      </w:r>
      <w:r w:rsidRPr="002E3F7E">
        <w:t xml:space="preserve">. </w:t>
      </w:r>
      <w:r>
        <w:t>To date, t</w:t>
      </w:r>
      <w:r w:rsidRPr="002E3F7E">
        <w:t xml:space="preserve">he activity has had phases </w:t>
      </w:r>
      <w:r>
        <w:t>as follows</w:t>
      </w:r>
      <w:r w:rsidRPr="002E3F7E">
        <w:t xml:space="preserve">: </w:t>
      </w:r>
    </w:p>
    <w:p w14:paraId="46130795" w14:textId="36756345" w:rsidR="009A7AE4" w:rsidRPr="003A47D1" w:rsidRDefault="001A6DD6" w:rsidP="00D65CF9">
      <w:pPr>
        <w:pStyle w:val="Bulletpoints"/>
      </w:pPr>
      <w:r w:rsidRPr="002E3F7E">
        <w:t>Glass commenc</w:t>
      </w:r>
      <w:r w:rsidR="009E48F3">
        <w:t>ed</w:t>
      </w:r>
      <w:r w:rsidRPr="002E3F7E">
        <w:t xml:space="preserve"> 1 January 2021</w:t>
      </w:r>
    </w:p>
    <w:p w14:paraId="24E28860" w14:textId="614BFA37" w:rsidR="009A7AE4" w:rsidRPr="003A47D1" w:rsidRDefault="001A6DD6" w:rsidP="00D65CF9">
      <w:pPr>
        <w:pStyle w:val="Bulletpoints"/>
      </w:pPr>
      <w:r w:rsidRPr="002E3F7E">
        <w:t xml:space="preserve">Plastics phase 1 </w:t>
      </w:r>
      <w:r w:rsidR="003D138D">
        <w:t xml:space="preserve">(waste </w:t>
      </w:r>
      <w:r w:rsidR="007C00A5">
        <w:t>plastic</w:t>
      </w:r>
      <w:r w:rsidR="003D138D">
        <w:t xml:space="preserve"> must be sorted) </w:t>
      </w:r>
      <w:r w:rsidRPr="002E3F7E">
        <w:t>commenc</w:t>
      </w:r>
      <w:r w:rsidR="009E48F3">
        <w:t>ed</w:t>
      </w:r>
      <w:r w:rsidRPr="002E3F7E">
        <w:t xml:space="preserve"> 1 July 2021</w:t>
      </w:r>
    </w:p>
    <w:p w14:paraId="24E62892" w14:textId="2CD5FEA6" w:rsidR="009A7AE4" w:rsidRPr="003A47D1" w:rsidRDefault="001A6DD6" w:rsidP="00D65CF9">
      <w:pPr>
        <w:pStyle w:val="Bulletpoints"/>
      </w:pPr>
      <w:r w:rsidRPr="002E3F7E">
        <w:t>Tyres commenc</w:t>
      </w:r>
      <w:r w:rsidR="009E48F3">
        <w:t>ed</w:t>
      </w:r>
      <w:r w:rsidRPr="002E3F7E">
        <w:t xml:space="preserve"> 1 December 2021</w:t>
      </w:r>
    </w:p>
    <w:p w14:paraId="1FF31C84" w14:textId="04AC380C" w:rsidR="00C12AD0" w:rsidRPr="002E3F7E" w:rsidRDefault="00C12AD0" w:rsidP="00D65CF9">
      <w:pPr>
        <w:pStyle w:val="Bulletpoints"/>
      </w:pPr>
      <w:r>
        <w:t xml:space="preserve">Plastics phase 2 </w:t>
      </w:r>
      <w:r w:rsidR="003D138D">
        <w:t xml:space="preserve">(waste plastic must be processed) </w:t>
      </w:r>
      <w:r>
        <w:t>commenced 1 July 2022</w:t>
      </w:r>
      <w:r w:rsidR="009A7AE4">
        <w:t>.</w:t>
      </w:r>
    </w:p>
    <w:p w14:paraId="7135DC7F" w14:textId="3C8EB9D1" w:rsidR="001A6DD6" w:rsidRDefault="001A6DD6" w:rsidP="00D65CF9">
      <w:r w:rsidRPr="002E3F7E">
        <w:t>For the purposes of the costing model, actual costs incurred between 1 January 2021 to 31</w:t>
      </w:r>
      <w:r w:rsidR="0052741C">
        <w:t xml:space="preserve"> </w:t>
      </w:r>
      <w:r w:rsidRPr="002E3F7E">
        <w:t>January</w:t>
      </w:r>
      <w:r w:rsidR="0052741C">
        <w:t xml:space="preserve"> </w:t>
      </w:r>
      <w:r w:rsidRPr="002E3F7E">
        <w:t xml:space="preserve">2022 were analysed. These costs are </w:t>
      </w:r>
      <w:r w:rsidR="00DD28D8">
        <w:t xml:space="preserve">presented on </w:t>
      </w:r>
      <w:r w:rsidR="00DD28D8">
        <w:fldChar w:fldCharType="begin"/>
      </w:r>
      <w:r w:rsidR="00DD28D8">
        <w:instrText xml:space="preserve"> REF _Ref116049042 \h </w:instrText>
      </w:r>
      <w:r w:rsidR="00DD28D8">
        <w:fldChar w:fldCharType="separate"/>
      </w:r>
      <w:r w:rsidR="00AF29EE">
        <w:t xml:space="preserve">Table </w:t>
      </w:r>
      <w:r w:rsidR="00AF29EE">
        <w:rPr>
          <w:noProof/>
        </w:rPr>
        <w:t>3</w:t>
      </w:r>
      <w:r w:rsidR="00DD28D8">
        <w:fldChar w:fldCharType="end"/>
      </w:r>
      <w:r w:rsidR="00DD28D8">
        <w:t>.</w:t>
      </w:r>
    </w:p>
    <w:p w14:paraId="7D80AEF1" w14:textId="6136E90A" w:rsidR="001A6DD6" w:rsidRDefault="001A6DD6" w:rsidP="00D65CF9">
      <w:r w:rsidRPr="002E3F7E">
        <w:t>The costs were split between those that were directly related to assessments, which would be recovered on a fee for service basis, and costs that cannot be directly linked to applicants and so would be recovered by a levy</w:t>
      </w:r>
      <w:r>
        <w:t xml:space="preserve">, as detailed </w:t>
      </w:r>
      <w:r w:rsidR="004251AC">
        <w:t>below</w:t>
      </w:r>
      <w:r w:rsidRPr="002E3F7E">
        <w:t>. Employee expenses were split based on an estimat</w:t>
      </w:r>
      <w:r>
        <w:t>ion</w:t>
      </w:r>
      <w:r w:rsidRPr="002E3F7E">
        <w:t xml:space="preserve"> of effort.</w:t>
      </w:r>
    </w:p>
    <w:p w14:paraId="4F26D6F1" w14:textId="54C6945F" w:rsidR="00033C30" w:rsidRDefault="001A6DD6" w:rsidP="00D65CF9">
      <w:r>
        <w:t>T</w:t>
      </w:r>
      <w:r w:rsidRPr="00390FEB">
        <w:t xml:space="preserve">he expenses </w:t>
      </w:r>
      <w:r>
        <w:t xml:space="preserve">were </w:t>
      </w:r>
      <w:r w:rsidRPr="00390FEB">
        <w:t xml:space="preserve">split by the number of assessments completed during this time, </w:t>
      </w:r>
      <w:r>
        <w:t xml:space="preserve">which was used </w:t>
      </w:r>
      <w:r w:rsidRPr="00390FEB">
        <w:t xml:space="preserve">to calculate a cost per assessment. </w:t>
      </w:r>
      <w:r w:rsidR="004251AC">
        <w:t>T</w:t>
      </w:r>
      <w:r w:rsidRPr="00390FEB">
        <w:t xml:space="preserve">he cost of assessing a glass export permit was disproportionately high </w:t>
      </w:r>
      <w:r w:rsidR="004251AC">
        <w:t>as they were</w:t>
      </w:r>
      <w:r w:rsidRPr="00390FEB">
        <w:t xml:space="preserve"> the first assessments completed, </w:t>
      </w:r>
      <w:r w:rsidR="004251AC">
        <w:t>when</w:t>
      </w:r>
      <w:r w:rsidR="004251AC" w:rsidRPr="00390FEB">
        <w:t xml:space="preserve"> </w:t>
      </w:r>
      <w:r w:rsidRPr="00390FEB">
        <w:t xml:space="preserve">processes and procedures were being developed. However, as there were only six glass assessments the results </w:t>
      </w:r>
      <w:r>
        <w:t>d</w:t>
      </w:r>
      <w:r w:rsidRPr="00390FEB">
        <w:t xml:space="preserve">o not materially change when they are included or excluded from the data. </w:t>
      </w:r>
    </w:p>
    <w:p w14:paraId="6DBCCD29" w14:textId="326C155C" w:rsidR="00633E1D" w:rsidRPr="00CF4DF2" w:rsidRDefault="001A6DD6" w:rsidP="00D65CF9">
      <w:r w:rsidRPr="00BF7506">
        <w:t xml:space="preserve">The department </w:t>
      </w:r>
      <w:r w:rsidR="007C00A5" w:rsidRPr="00BF7506">
        <w:t>has observed</w:t>
      </w:r>
      <w:r w:rsidR="00E33FBC" w:rsidRPr="00BF7506">
        <w:t xml:space="preserve"> </w:t>
      </w:r>
      <w:r w:rsidRPr="00BF7506">
        <w:t xml:space="preserve">a decline in the </w:t>
      </w:r>
      <w:r w:rsidR="00A341B4" w:rsidRPr="00BF7506">
        <w:t xml:space="preserve">assessment </w:t>
      </w:r>
      <w:r w:rsidRPr="00BF7506">
        <w:t xml:space="preserve">time as the scheme </w:t>
      </w:r>
      <w:r w:rsidR="00024A1A" w:rsidRPr="00BF7506">
        <w:t>has begun to mature</w:t>
      </w:r>
      <w:r w:rsidRPr="00BF7506">
        <w:t>. By 1 July 2023 (when charging commences) the scheme will have matured further, and it is reasonable to assume that the time to complete an assessment will be significantly less.</w:t>
      </w:r>
      <w:r w:rsidRPr="00CF4DF2">
        <w:t xml:space="preserve"> </w:t>
      </w:r>
      <w:r w:rsidR="0088154D">
        <w:t xml:space="preserve"> </w:t>
      </w:r>
    </w:p>
    <w:p w14:paraId="239C008F" w14:textId="755C7BB2" w:rsidR="00633E1D" w:rsidRDefault="008F77DC" w:rsidP="00D65CF9">
      <w:r>
        <w:t xml:space="preserve">Under the scheme, </w:t>
      </w:r>
      <w:r w:rsidR="00681F22">
        <w:t>licences can be granted for a period of up to 3 years.</w:t>
      </w:r>
      <w:r>
        <w:t xml:space="preserve"> </w:t>
      </w:r>
      <w:r w:rsidR="00633E1D">
        <w:t xml:space="preserve">The models outlined below do not propose a </w:t>
      </w:r>
      <w:r w:rsidR="00B75FFC">
        <w:t>different fee</w:t>
      </w:r>
      <w:r w:rsidR="00633E1D">
        <w:t xml:space="preserve"> </w:t>
      </w:r>
      <w:r w:rsidR="00B75FFC">
        <w:t xml:space="preserve">depending on the length of licence. The cost for a 1-year licence will be the same as a 3-year licence, as the effort taken to review licence of different lengths is the same. </w:t>
      </w:r>
    </w:p>
    <w:p w14:paraId="657F237D" w14:textId="77777777" w:rsidR="004479D3" w:rsidRDefault="004479D3">
      <w:pPr>
        <w:spacing w:after="160"/>
        <w:rPr>
          <w:rFonts w:asciiTheme="majorHAnsi" w:eastAsiaTheme="majorEastAsia" w:hAnsiTheme="majorHAnsi" w:cstheme="majorBidi"/>
          <w:color w:val="BB4E06" w:themeColor="accent3" w:themeTint="BF"/>
          <w:sz w:val="40"/>
          <w:szCs w:val="48"/>
        </w:rPr>
      </w:pPr>
      <w:r>
        <w:br w:type="page"/>
      </w:r>
    </w:p>
    <w:p w14:paraId="612048A4" w14:textId="3A5EE4DF" w:rsidR="001A6DD6" w:rsidRPr="000F3F15" w:rsidRDefault="00D772DD" w:rsidP="00D7571B">
      <w:pPr>
        <w:pStyle w:val="Heading2"/>
      </w:pPr>
      <w:bookmarkStart w:id="19" w:name="_Toc116383702"/>
      <w:r>
        <w:lastRenderedPageBreak/>
        <w:t>Option</w:t>
      </w:r>
      <w:r w:rsidR="001A6DD6" w:rsidRPr="000908A2">
        <w:t xml:space="preserve"> </w:t>
      </w:r>
      <w:r w:rsidR="00B42C10">
        <w:t>One</w:t>
      </w:r>
      <w:r w:rsidR="001A6DD6">
        <w:t xml:space="preserve">: </w:t>
      </w:r>
      <w:r w:rsidR="001A6DD6" w:rsidRPr="00681B62">
        <w:t>Flat fee for each application type</w:t>
      </w:r>
      <w:bookmarkEnd w:id="19"/>
    </w:p>
    <w:p w14:paraId="3206C2A7" w14:textId="3E2AA79B" w:rsidR="00D772DD" w:rsidRDefault="00D772DD" w:rsidP="00D65CF9">
      <w:r>
        <w:t>Option</w:t>
      </w:r>
      <w:r w:rsidR="001A6DD6">
        <w:t xml:space="preserve"> One </w:t>
      </w:r>
      <w:r>
        <w:t>is</w:t>
      </w:r>
      <w:r w:rsidR="001A6DD6">
        <w:t xml:space="preserve"> a simple flat </w:t>
      </w:r>
      <w:r w:rsidR="009E48F3">
        <w:t>fee</w:t>
      </w:r>
      <w:r>
        <w:t>,</w:t>
      </w:r>
      <w:r w:rsidR="009E48F3">
        <w:t xml:space="preserve"> </w:t>
      </w:r>
      <w:r w:rsidR="001A6DD6">
        <w:t xml:space="preserve">depending on the type of application. A flat fee will allow both industry and the department to </w:t>
      </w:r>
      <w:r>
        <w:t>know</w:t>
      </w:r>
      <w:r w:rsidR="001A6DD6">
        <w:t xml:space="preserve"> exactly how much will be charged for a </w:t>
      </w:r>
      <w:r w:rsidR="00AE79E4">
        <w:t>licence</w:t>
      </w:r>
      <w:r w:rsidR="001A6DD6">
        <w:t>, exemption</w:t>
      </w:r>
      <w:r w:rsidR="00E33FBC">
        <w:t>,</w:t>
      </w:r>
      <w:r w:rsidR="001A6DD6">
        <w:t xml:space="preserve"> variation</w:t>
      </w:r>
      <w:r w:rsidR="00E33FBC">
        <w:t>, or renewal</w:t>
      </w:r>
      <w:r w:rsidR="001A6DD6">
        <w:t xml:space="preserve"> of a licence. </w:t>
      </w:r>
    </w:p>
    <w:p w14:paraId="70693368" w14:textId="341D589B" w:rsidR="001A6DD6" w:rsidRDefault="001A6DD6" w:rsidP="00D7571B">
      <w:r w:rsidRPr="00127CBA">
        <w:t xml:space="preserve">The </w:t>
      </w:r>
      <w:r w:rsidR="004726D6">
        <w:t xml:space="preserve">average </w:t>
      </w:r>
      <w:r w:rsidRPr="00127CBA">
        <w:t xml:space="preserve">cost incurred by the </w:t>
      </w:r>
      <w:r>
        <w:t>department</w:t>
      </w:r>
      <w:r w:rsidRPr="00127CBA">
        <w:t xml:space="preserve"> to assess each type of application</w:t>
      </w:r>
      <w:r w:rsidR="004726D6">
        <w:t xml:space="preserve"> to date</w:t>
      </w:r>
      <w:r w:rsidRPr="00127CBA">
        <w:t xml:space="preserve"> is </w:t>
      </w:r>
      <w:r w:rsidR="00BF7506">
        <w:t>presented</w:t>
      </w:r>
      <w:r w:rsidR="00BF7506" w:rsidRPr="00127CBA">
        <w:t xml:space="preserve"> </w:t>
      </w:r>
      <w:r w:rsidR="008F59C8">
        <w:t>o</w:t>
      </w:r>
      <w:r w:rsidRPr="00127CBA">
        <w:t xml:space="preserve">n </w:t>
      </w:r>
      <w:r w:rsidR="0052741C">
        <w:fldChar w:fldCharType="begin"/>
      </w:r>
      <w:r w:rsidR="0052741C">
        <w:instrText xml:space="preserve"> REF _Ref116049042 \h </w:instrText>
      </w:r>
      <w:r w:rsidR="0052741C">
        <w:fldChar w:fldCharType="separate"/>
      </w:r>
      <w:r w:rsidR="00AF29EE">
        <w:t xml:space="preserve">Table </w:t>
      </w:r>
      <w:r w:rsidR="00AF29EE">
        <w:rPr>
          <w:noProof/>
        </w:rPr>
        <w:t>3</w:t>
      </w:r>
      <w:r w:rsidR="0052741C">
        <w:fldChar w:fldCharType="end"/>
      </w:r>
      <w:r w:rsidR="0052741C">
        <w:t>.</w:t>
      </w:r>
    </w:p>
    <w:p w14:paraId="6585131D" w14:textId="11693911" w:rsidR="0052741C" w:rsidRDefault="0052741C" w:rsidP="00D65CF9">
      <w:pPr>
        <w:pStyle w:val="Caption"/>
      </w:pPr>
      <w:bookmarkStart w:id="20" w:name="_Ref116049042"/>
      <w:r>
        <w:t xml:space="preserve">Table </w:t>
      </w:r>
      <w:fldSimple w:instr=" SEQ Table \* ARABIC ">
        <w:r w:rsidR="00AF29EE">
          <w:rPr>
            <w:noProof/>
          </w:rPr>
          <w:t>3</w:t>
        </w:r>
      </w:fldSimple>
      <w:bookmarkEnd w:id="20"/>
      <w:r>
        <w:t xml:space="preserve">: </w:t>
      </w:r>
      <w:r w:rsidRPr="00FE6D64">
        <w:t>Actual cost per assessment</w:t>
      </w:r>
    </w:p>
    <w:tbl>
      <w:tblPr>
        <w:tblStyle w:val="GridTable1Light-Accent2"/>
        <w:tblW w:w="7641" w:type="dxa"/>
        <w:tblInd w:w="562" w:type="dxa"/>
        <w:tblLook w:val="04A0" w:firstRow="1" w:lastRow="0" w:firstColumn="1" w:lastColumn="0" w:noHBand="0" w:noVBand="1"/>
      </w:tblPr>
      <w:tblGrid>
        <w:gridCol w:w="3925"/>
        <w:gridCol w:w="3716"/>
      </w:tblGrid>
      <w:tr w:rsidR="001B1E9A" w:rsidRPr="00494D22" w14:paraId="0D70CD3B" w14:textId="77777777" w:rsidTr="001B1E9A">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925" w:type="dxa"/>
            <w:noWrap/>
            <w:hideMark/>
          </w:tcPr>
          <w:p w14:paraId="46EC97B9" w14:textId="77777777" w:rsidR="001B1E9A" w:rsidRPr="00652A5D" w:rsidRDefault="001B1E9A" w:rsidP="00D65CF9">
            <w:pPr>
              <w:pStyle w:val="TableSpacing"/>
            </w:pPr>
            <w:r w:rsidRPr="00652A5D">
              <w:t>Application Type</w:t>
            </w:r>
          </w:p>
        </w:tc>
        <w:tc>
          <w:tcPr>
            <w:tcW w:w="3716" w:type="dxa"/>
            <w:noWrap/>
            <w:hideMark/>
          </w:tcPr>
          <w:p w14:paraId="0CE20756" w14:textId="77777777" w:rsidR="001B1E9A" w:rsidRPr="00652A5D" w:rsidRDefault="001B1E9A" w:rsidP="00D65CF9">
            <w:pPr>
              <w:pStyle w:val="TableSpacing"/>
              <w:cnfStyle w:val="100000000000" w:firstRow="1" w:lastRow="0" w:firstColumn="0" w:lastColumn="0" w:oddVBand="0" w:evenVBand="0" w:oddHBand="0" w:evenHBand="0" w:firstRowFirstColumn="0" w:firstRowLastColumn="0" w:lastRowFirstColumn="0" w:lastRowLastColumn="0"/>
            </w:pPr>
            <w:r w:rsidRPr="00652A5D">
              <w:t>Cost Per Assessment</w:t>
            </w:r>
          </w:p>
          <w:p w14:paraId="6BA754E5" w14:textId="14966EB7" w:rsidR="001B1E9A" w:rsidRPr="00652A5D" w:rsidRDefault="001B1E9A" w:rsidP="00D65CF9">
            <w:pPr>
              <w:pStyle w:val="TableSpacing"/>
              <w:cnfStyle w:val="100000000000" w:firstRow="1" w:lastRow="0" w:firstColumn="0" w:lastColumn="0" w:oddVBand="0" w:evenVBand="0" w:oddHBand="0" w:evenHBand="0" w:firstRowFirstColumn="0" w:firstRowLastColumn="0" w:lastRowFirstColumn="0" w:lastRowLastColumn="0"/>
            </w:pPr>
            <w:r w:rsidRPr="00652A5D">
              <w:t>($)</w:t>
            </w:r>
          </w:p>
        </w:tc>
      </w:tr>
      <w:tr w:rsidR="001B1E9A" w:rsidRPr="00494D22" w14:paraId="0A8B166B" w14:textId="77777777" w:rsidTr="001B1E9A">
        <w:trPr>
          <w:trHeight w:val="162"/>
        </w:trPr>
        <w:tc>
          <w:tcPr>
            <w:cnfStyle w:val="001000000000" w:firstRow="0" w:lastRow="0" w:firstColumn="1" w:lastColumn="0" w:oddVBand="0" w:evenVBand="0" w:oddHBand="0" w:evenHBand="0" w:firstRowFirstColumn="0" w:firstRowLastColumn="0" w:lastRowFirstColumn="0" w:lastRowLastColumn="0"/>
            <w:tcW w:w="3925" w:type="dxa"/>
            <w:noWrap/>
            <w:hideMark/>
          </w:tcPr>
          <w:p w14:paraId="3B7E039C" w14:textId="6861ECA9" w:rsidR="001B1E9A" w:rsidRPr="00D65CF9" w:rsidRDefault="001B1E9A" w:rsidP="00D65CF9">
            <w:pPr>
              <w:pStyle w:val="TableSpacing"/>
              <w:rPr>
                <w:b w:val="0"/>
              </w:rPr>
            </w:pPr>
            <w:r w:rsidRPr="00D7571B">
              <w:t>Licence</w:t>
            </w:r>
          </w:p>
        </w:tc>
        <w:tc>
          <w:tcPr>
            <w:tcW w:w="3716" w:type="dxa"/>
            <w:noWrap/>
            <w:hideMark/>
          </w:tcPr>
          <w:p w14:paraId="5365FC40" w14:textId="741C3E46" w:rsidR="001B1E9A" w:rsidRPr="00FE6D64" w:rsidRDefault="001B1E9A" w:rsidP="00D65CF9">
            <w:pPr>
              <w:pStyle w:val="TableSpacing"/>
              <w:cnfStyle w:val="000000000000" w:firstRow="0" w:lastRow="0" w:firstColumn="0" w:lastColumn="0" w:oddVBand="0" w:evenVBand="0" w:oddHBand="0" w:evenHBand="0" w:firstRowFirstColumn="0" w:firstRowLastColumn="0" w:lastRowFirstColumn="0" w:lastRowLastColumn="0"/>
            </w:pPr>
            <w:r w:rsidRPr="00FE6D64">
              <w:t>29,376</w:t>
            </w:r>
          </w:p>
        </w:tc>
      </w:tr>
      <w:tr w:rsidR="001B1E9A" w:rsidRPr="00494D22" w14:paraId="3E5D8A32" w14:textId="77777777" w:rsidTr="001B1E9A">
        <w:trPr>
          <w:trHeight w:val="162"/>
        </w:trPr>
        <w:tc>
          <w:tcPr>
            <w:cnfStyle w:val="001000000000" w:firstRow="0" w:lastRow="0" w:firstColumn="1" w:lastColumn="0" w:oddVBand="0" w:evenVBand="0" w:oddHBand="0" w:evenHBand="0" w:firstRowFirstColumn="0" w:firstRowLastColumn="0" w:lastRowFirstColumn="0" w:lastRowLastColumn="0"/>
            <w:tcW w:w="3925" w:type="dxa"/>
            <w:noWrap/>
            <w:hideMark/>
          </w:tcPr>
          <w:p w14:paraId="14E7C151" w14:textId="77777777" w:rsidR="001B1E9A" w:rsidRPr="00D65CF9" w:rsidRDefault="001B1E9A" w:rsidP="00D65CF9">
            <w:pPr>
              <w:pStyle w:val="TableSpacing"/>
              <w:rPr>
                <w:b w:val="0"/>
              </w:rPr>
            </w:pPr>
            <w:r w:rsidRPr="00D7571B">
              <w:t>Exemption</w:t>
            </w:r>
          </w:p>
        </w:tc>
        <w:tc>
          <w:tcPr>
            <w:tcW w:w="3716" w:type="dxa"/>
            <w:noWrap/>
            <w:hideMark/>
          </w:tcPr>
          <w:p w14:paraId="29550996" w14:textId="4CFE9508" w:rsidR="001B1E9A" w:rsidRPr="00FE6D64" w:rsidRDefault="001B1E9A" w:rsidP="00D65CF9">
            <w:pPr>
              <w:pStyle w:val="TableSpacing"/>
              <w:cnfStyle w:val="000000000000" w:firstRow="0" w:lastRow="0" w:firstColumn="0" w:lastColumn="0" w:oddVBand="0" w:evenVBand="0" w:oddHBand="0" w:evenHBand="0" w:firstRowFirstColumn="0" w:firstRowLastColumn="0" w:lastRowFirstColumn="0" w:lastRowLastColumn="0"/>
            </w:pPr>
            <w:r w:rsidRPr="00FE6D64">
              <w:t>19,939</w:t>
            </w:r>
          </w:p>
        </w:tc>
      </w:tr>
      <w:tr w:rsidR="001B1E9A" w:rsidRPr="00494D22" w14:paraId="45A5BFB4" w14:textId="77777777" w:rsidTr="001B1E9A">
        <w:trPr>
          <w:trHeight w:val="162"/>
        </w:trPr>
        <w:tc>
          <w:tcPr>
            <w:cnfStyle w:val="001000000000" w:firstRow="0" w:lastRow="0" w:firstColumn="1" w:lastColumn="0" w:oddVBand="0" w:evenVBand="0" w:oddHBand="0" w:evenHBand="0" w:firstRowFirstColumn="0" w:firstRowLastColumn="0" w:lastRowFirstColumn="0" w:lastRowLastColumn="0"/>
            <w:tcW w:w="3925" w:type="dxa"/>
            <w:noWrap/>
            <w:hideMark/>
          </w:tcPr>
          <w:p w14:paraId="258B7DAD" w14:textId="77777777" w:rsidR="001B1E9A" w:rsidRPr="00D65CF9" w:rsidRDefault="001B1E9A" w:rsidP="00D65CF9">
            <w:pPr>
              <w:pStyle w:val="TableSpacing"/>
              <w:rPr>
                <w:b w:val="0"/>
              </w:rPr>
            </w:pPr>
            <w:r w:rsidRPr="00D7571B">
              <w:t>Variation</w:t>
            </w:r>
          </w:p>
        </w:tc>
        <w:tc>
          <w:tcPr>
            <w:tcW w:w="3716" w:type="dxa"/>
            <w:noWrap/>
            <w:hideMark/>
          </w:tcPr>
          <w:p w14:paraId="70A3594D" w14:textId="6EA34B37" w:rsidR="001B1E9A" w:rsidRPr="00FE6D64" w:rsidRDefault="001B1E9A" w:rsidP="00D65CF9">
            <w:pPr>
              <w:pStyle w:val="TableSpacing"/>
              <w:cnfStyle w:val="000000000000" w:firstRow="0" w:lastRow="0" w:firstColumn="0" w:lastColumn="0" w:oddVBand="0" w:evenVBand="0" w:oddHBand="0" w:evenHBand="0" w:firstRowFirstColumn="0" w:firstRowLastColumn="0" w:lastRowFirstColumn="0" w:lastRowLastColumn="0"/>
            </w:pPr>
            <w:r w:rsidRPr="00FE6D64">
              <w:t>20,834</w:t>
            </w:r>
          </w:p>
        </w:tc>
      </w:tr>
    </w:tbl>
    <w:p w14:paraId="6355F454" w14:textId="55985575" w:rsidR="003D6660" w:rsidRPr="00BF7506" w:rsidRDefault="001A6DD6" w:rsidP="00D65CF9">
      <w:pPr>
        <w:spacing w:before="200"/>
      </w:pPr>
      <w:r w:rsidRPr="00BF7506">
        <w:t xml:space="preserve">The scheme has, and will continue to, improve assessment procedures, and build information libraries and staff knowledge, resulting in a decline in time required to complete assessments in each phase of the scheme’s implementation. </w:t>
      </w:r>
      <w:r w:rsidR="00A341B4" w:rsidRPr="00BF7506">
        <w:t>A</w:t>
      </w:r>
      <w:r w:rsidR="00D31AEE" w:rsidRPr="00BF7506">
        <w:t>ssessment</w:t>
      </w:r>
      <w:r w:rsidR="00463308" w:rsidRPr="00BF7506">
        <w:t xml:space="preserve"> time is also expected to reduce as exporters build their knowledge of the scheme’s legislative requirements and familiarity with the </w:t>
      </w:r>
      <w:r w:rsidR="00EB4585" w:rsidRPr="00BF7506">
        <w:t>department’s</w:t>
      </w:r>
      <w:r w:rsidR="00463308" w:rsidRPr="00BF7506">
        <w:t xml:space="preserve"> systems and processes. </w:t>
      </w:r>
    </w:p>
    <w:p w14:paraId="72E525FF" w14:textId="41DA1313" w:rsidR="001A6DD6" w:rsidRPr="00FE6D64" w:rsidRDefault="001A6DD6" w:rsidP="00D65CF9">
      <w:r w:rsidRPr="00BF7506">
        <w:t xml:space="preserve">It is estimated that </w:t>
      </w:r>
      <w:r w:rsidR="00D31AEE" w:rsidRPr="00BF7506">
        <w:t xml:space="preserve">as </w:t>
      </w:r>
      <w:r w:rsidRPr="00BF7506">
        <w:t xml:space="preserve">the scheme matures, the effort required will reduce by </w:t>
      </w:r>
      <w:r w:rsidR="00D31AEE" w:rsidRPr="00BF7506">
        <w:t xml:space="preserve">35 </w:t>
      </w:r>
      <w:r w:rsidRPr="00BF7506">
        <w:t>per cent compared to the past levels</w:t>
      </w:r>
      <w:r w:rsidR="00D31AEE" w:rsidRPr="00BF7506">
        <w:t xml:space="preserve"> for licence and licence variation applications</w:t>
      </w:r>
      <w:r w:rsidRPr="00BF7506">
        <w:t>.</w:t>
      </w:r>
      <w:r w:rsidR="00D31AEE" w:rsidRPr="00BF7506">
        <w:t xml:space="preserve"> </w:t>
      </w:r>
      <w:r w:rsidR="002D46DE" w:rsidRPr="00BF7506">
        <w:t xml:space="preserve">Licence renewals are expected to involve the same </w:t>
      </w:r>
      <w:r w:rsidR="001F7DED" w:rsidRPr="00BF7506">
        <w:t>effort taken</w:t>
      </w:r>
      <w:r w:rsidR="009E48F3" w:rsidRPr="00BF7506">
        <w:t xml:space="preserve"> </w:t>
      </w:r>
      <w:r w:rsidR="002D46DE" w:rsidRPr="00BF7506">
        <w:t xml:space="preserve">as licence variations (in both cases, the fundamental information relating to the licence has already been established in the initial licence application). </w:t>
      </w:r>
      <w:r w:rsidR="009E48F3" w:rsidRPr="00BF7506">
        <w:t>The level of</w:t>
      </w:r>
      <w:r w:rsidR="00D31AEE" w:rsidRPr="00BF7506">
        <w:t xml:space="preserve"> assess</w:t>
      </w:r>
      <w:r w:rsidR="009E48F3" w:rsidRPr="00BF7506">
        <w:t>ment for</w:t>
      </w:r>
      <w:r w:rsidR="00D31AEE" w:rsidRPr="00BF7506">
        <w:t xml:space="preserve"> exemptions is </w:t>
      </w:r>
      <w:r w:rsidR="002D46DE" w:rsidRPr="00BF7506">
        <w:t>estimated to</w:t>
      </w:r>
      <w:r w:rsidR="00D31AEE" w:rsidRPr="00BF7506">
        <w:t xml:space="preserve"> reduce by a slightly lower proportion</w:t>
      </w:r>
      <w:r w:rsidR="002D46DE" w:rsidRPr="00BF7506">
        <w:t xml:space="preserve"> than licences</w:t>
      </w:r>
      <w:r w:rsidR="00D31AEE" w:rsidRPr="00BF7506">
        <w:t xml:space="preserve">, </w:t>
      </w:r>
      <w:r w:rsidR="00E94D8F">
        <w:br/>
      </w:r>
      <w:r w:rsidR="00D31AEE" w:rsidRPr="00BF7506">
        <w:t>30 per cent, because exemption applications will continue to raise nov</w:t>
      </w:r>
      <w:r w:rsidR="00195BA9" w:rsidRPr="00BF7506">
        <w:t>el situations and so there is less opportunity to learn from past assessments and build standard procedures.</w:t>
      </w:r>
      <w:r w:rsidR="00D31AEE">
        <w:t xml:space="preserve"> </w:t>
      </w:r>
    </w:p>
    <w:p w14:paraId="1115ADAB" w14:textId="37611E20" w:rsidR="001A6DD6" w:rsidRDefault="00EB4585" w:rsidP="00D65CF9">
      <w:r>
        <w:t xml:space="preserve">The proposed fees are set out </w:t>
      </w:r>
      <w:r w:rsidR="00DD28D8">
        <w:t xml:space="preserve">on </w:t>
      </w:r>
      <w:r w:rsidR="00DD28D8">
        <w:fldChar w:fldCharType="begin"/>
      </w:r>
      <w:r w:rsidR="00DD28D8">
        <w:instrText xml:space="preserve"> REF _Ref116296870 \h </w:instrText>
      </w:r>
      <w:r w:rsidR="00DD28D8">
        <w:fldChar w:fldCharType="separate"/>
      </w:r>
      <w:r w:rsidR="00AF29EE">
        <w:t xml:space="preserve">Table </w:t>
      </w:r>
      <w:r w:rsidR="00AF29EE">
        <w:rPr>
          <w:noProof/>
        </w:rPr>
        <w:t>4</w:t>
      </w:r>
      <w:r w:rsidR="00DD28D8">
        <w:fldChar w:fldCharType="end"/>
      </w:r>
      <w:r w:rsidR="00DD28D8">
        <w:t>.</w:t>
      </w:r>
      <w:r>
        <w:t xml:space="preserve"> </w:t>
      </w:r>
      <w:r w:rsidR="00DD28D8" w:rsidRPr="00FE6D64">
        <w:t>T</w:t>
      </w:r>
      <w:r w:rsidR="00DD28D8">
        <w:t xml:space="preserve">his </w:t>
      </w:r>
      <w:r>
        <w:t>reflect</w:t>
      </w:r>
      <w:r w:rsidR="00DD28D8">
        <w:t>s</w:t>
      </w:r>
      <w:r>
        <w:t xml:space="preserve"> t</w:t>
      </w:r>
      <w:r w:rsidR="001A6DD6" w:rsidRPr="00FE6D64">
        <w:t>h</w:t>
      </w:r>
      <w:r w:rsidR="00DD28D8">
        <w:t>e</w:t>
      </w:r>
      <w:r w:rsidR="001A6DD6" w:rsidRPr="00FE6D64">
        <w:t xml:space="preserve"> </w:t>
      </w:r>
      <w:r w:rsidR="002658F2">
        <w:t xml:space="preserve">anticipated </w:t>
      </w:r>
      <w:r w:rsidR="001A6DD6" w:rsidRPr="00FE6D64">
        <w:t>efficiency gain.</w:t>
      </w:r>
    </w:p>
    <w:p w14:paraId="640D6C5D" w14:textId="6ABC6BD9" w:rsidR="0052741C" w:rsidRDefault="0052741C" w:rsidP="00C4276B">
      <w:pPr>
        <w:pStyle w:val="Caption"/>
      </w:pPr>
      <w:bookmarkStart w:id="21" w:name="_Ref116296870"/>
      <w:r>
        <w:t xml:space="preserve">Table </w:t>
      </w:r>
      <w:fldSimple w:instr=" SEQ Table \* ARABIC ">
        <w:r w:rsidR="00AF29EE">
          <w:rPr>
            <w:noProof/>
          </w:rPr>
          <w:t>4</w:t>
        </w:r>
      </w:fldSimple>
      <w:bookmarkEnd w:id="21"/>
      <w:r>
        <w:t xml:space="preserve">: </w:t>
      </w:r>
      <w:r w:rsidRPr="00C04134">
        <w:t>Proposed Fee Schedule</w:t>
      </w:r>
    </w:p>
    <w:tbl>
      <w:tblPr>
        <w:tblStyle w:val="GridTable1Light-Accent2"/>
        <w:tblW w:w="8080" w:type="dxa"/>
        <w:tblInd w:w="562" w:type="dxa"/>
        <w:tblLook w:val="04A0" w:firstRow="1" w:lastRow="0" w:firstColumn="1" w:lastColumn="0" w:noHBand="0" w:noVBand="1"/>
      </w:tblPr>
      <w:tblGrid>
        <w:gridCol w:w="5529"/>
        <w:gridCol w:w="2551"/>
      </w:tblGrid>
      <w:tr w:rsidR="001A6DD6" w:rsidRPr="00494D22" w14:paraId="40B1B00D" w14:textId="77777777" w:rsidTr="006E214B">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29" w:type="dxa"/>
            <w:noWrap/>
            <w:hideMark/>
          </w:tcPr>
          <w:p w14:paraId="55CB99CC" w14:textId="77777777" w:rsidR="001A6DD6" w:rsidRPr="00FE6D64" w:rsidRDefault="001A6DD6" w:rsidP="00D65CF9">
            <w:pPr>
              <w:pStyle w:val="TableSpacing"/>
              <w:rPr>
                <w:b w:val="0"/>
              </w:rPr>
            </w:pPr>
            <w:r w:rsidRPr="00FE6D64">
              <w:t>Application Type</w:t>
            </w:r>
          </w:p>
        </w:tc>
        <w:tc>
          <w:tcPr>
            <w:tcW w:w="2551" w:type="dxa"/>
            <w:noWrap/>
            <w:hideMark/>
          </w:tcPr>
          <w:p w14:paraId="406ED4E7" w14:textId="77777777" w:rsidR="009F59EE" w:rsidRDefault="001A6DD6" w:rsidP="00D65CF9">
            <w:pPr>
              <w:pStyle w:val="TableSpacing"/>
              <w:cnfStyle w:val="100000000000" w:firstRow="1" w:lastRow="0" w:firstColumn="0" w:lastColumn="0" w:oddVBand="0" w:evenVBand="0" w:oddHBand="0" w:evenHBand="0" w:firstRowFirstColumn="0" w:firstRowLastColumn="0" w:lastRowFirstColumn="0" w:lastRowLastColumn="0"/>
              <w:rPr>
                <w:b w:val="0"/>
              </w:rPr>
            </w:pPr>
            <w:r w:rsidRPr="00FE6D64">
              <w:t xml:space="preserve">Proposed </w:t>
            </w:r>
            <w:r>
              <w:t xml:space="preserve">Flat </w:t>
            </w:r>
            <w:r w:rsidRPr="00FE6D64">
              <w:t>Fee</w:t>
            </w:r>
          </w:p>
          <w:p w14:paraId="7ED807D7" w14:textId="58EABD59" w:rsidR="001A6DD6" w:rsidRPr="00FE6D64" w:rsidRDefault="009F59EE" w:rsidP="00D65CF9">
            <w:pPr>
              <w:pStyle w:val="TableSpacing"/>
              <w:cnfStyle w:val="100000000000" w:firstRow="1" w:lastRow="0" w:firstColumn="0" w:lastColumn="0" w:oddVBand="0" w:evenVBand="0" w:oddHBand="0" w:evenHBand="0" w:firstRowFirstColumn="0" w:firstRowLastColumn="0" w:lastRowFirstColumn="0" w:lastRowLastColumn="0"/>
              <w:rPr>
                <w:b w:val="0"/>
              </w:rPr>
            </w:pPr>
            <w:r>
              <w:t>($)</w:t>
            </w:r>
          </w:p>
        </w:tc>
      </w:tr>
      <w:tr w:rsidR="001A6DD6" w:rsidRPr="00494D22" w14:paraId="354913F7" w14:textId="77777777" w:rsidTr="006E214B">
        <w:trPr>
          <w:trHeight w:val="157"/>
        </w:trPr>
        <w:tc>
          <w:tcPr>
            <w:cnfStyle w:val="001000000000" w:firstRow="0" w:lastRow="0" w:firstColumn="1" w:lastColumn="0" w:oddVBand="0" w:evenVBand="0" w:oddHBand="0" w:evenHBand="0" w:firstRowFirstColumn="0" w:firstRowLastColumn="0" w:lastRowFirstColumn="0" w:lastRowLastColumn="0"/>
            <w:tcW w:w="5529" w:type="dxa"/>
            <w:noWrap/>
            <w:hideMark/>
          </w:tcPr>
          <w:p w14:paraId="7BBBC0C1" w14:textId="4EEFFBE1" w:rsidR="001A6DD6" w:rsidRPr="00D65CF9" w:rsidRDefault="001A6DD6" w:rsidP="00D65CF9">
            <w:pPr>
              <w:pStyle w:val="TableSpacing"/>
              <w:rPr>
                <w:b w:val="0"/>
              </w:rPr>
            </w:pPr>
            <w:r w:rsidRPr="00D7571B">
              <w:t>Licence</w:t>
            </w:r>
          </w:p>
        </w:tc>
        <w:tc>
          <w:tcPr>
            <w:tcW w:w="2551" w:type="dxa"/>
            <w:noWrap/>
            <w:hideMark/>
          </w:tcPr>
          <w:p w14:paraId="6CDEAABD" w14:textId="13B4A380" w:rsidR="001A6DD6" w:rsidRPr="00E1270D" w:rsidRDefault="00D31AEE" w:rsidP="00D65CF9">
            <w:pPr>
              <w:pStyle w:val="TableSpacing"/>
              <w:cnfStyle w:val="000000000000" w:firstRow="0" w:lastRow="0" w:firstColumn="0" w:lastColumn="0" w:oddVBand="0" w:evenVBand="0" w:oddHBand="0" w:evenHBand="0" w:firstRowFirstColumn="0" w:firstRowLastColumn="0" w:lastRowFirstColumn="0" w:lastRowLastColumn="0"/>
            </w:pPr>
            <w:r>
              <w:t>19,090</w:t>
            </w:r>
          </w:p>
        </w:tc>
      </w:tr>
      <w:tr w:rsidR="001A6DD6" w:rsidRPr="00494D22" w14:paraId="4DC0F360" w14:textId="77777777" w:rsidTr="006E214B">
        <w:trPr>
          <w:trHeight w:val="157"/>
        </w:trPr>
        <w:tc>
          <w:tcPr>
            <w:cnfStyle w:val="001000000000" w:firstRow="0" w:lastRow="0" w:firstColumn="1" w:lastColumn="0" w:oddVBand="0" w:evenVBand="0" w:oddHBand="0" w:evenHBand="0" w:firstRowFirstColumn="0" w:firstRowLastColumn="0" w:lastRowFirstColumn="0" w:lastRowLastColumn="0"/>
            <w:tcW w:w="5529" w:type="dxa"/>
            <w:noWrap/>
          </w:tcPr>
          <w:p w14:paraId="4F8FB595" w14:textId="679ED46E" w:rsidR="001A6DD6" w:rsidRPr="00D65CF9" w:rsidRDefault="001A6DD6" w:rsidP="00D65CF9">
            <w:pPr>
              <w:pStyle w:val="TableSpacing"/>
              <w:rPr>
                <w:b w:val="0"/>
              </w:rPr>
            </w:pPr>
            <w:r w:rsidRPr="00D7571B">
              <w:t>Exemption</w:t>
            </w:r>
          </w:p>
        </w:tc>
        <w:tc>
          <w:tcPr>
            <w:tcW w:w="2551" w:type="dxa"/>
            <w:noWrap/>
          </w:tcPr>
          <w:p w14:paraId="57360093" w14:textId="6D314E2F" w:rsidR="001A6DD6" w:rsidRPr="00E1270D" w:rsidRDefault="001A6DD6" w:rsidP="00D65CF9">
            <w:pPr>
              <w:pStyle w:val="TableSpacing"/>
              <w:cnfStyle w:val="000000000000" w:firstRow="0" w:lastRow="0" w:firstColumn="0" w:lastColumn="0" w:oddVBand="0" w:evenVBand="0" w:oddHBand="0" w:evenHBand="0" w:firstRowFirstColumn="0" w:firstRowLastColumn="0" w:lastRowFirstColumn="0" w:lastRowLastColumn="0"/>
            </w:pPr>
            <w:r w:rsidRPr="00E1270D">
              <w:t>13,960</w:t>
            </w:r>
          </w:p>
        </w:tc>
      </w:tr>
      <w:tr w:rsidR="001A6DD6" w:rsidRPr="00494D22" w14:paraId="3727E2F5" w14:textId="77777777" w:rsidTr="006E214B">
        <w:trPr>
          <w:trHeight w:val="157"/>
        </w:trPr>
        <w:tc>
          <w:tcPr>
            <w:cnfStyle w:val="001000000000" w:firstRow="0" w:lastRow="0" w:firstColumn="1" w:lastColumn="0" w:oddVBand="0" w:evenVBand="0" w:oddHBand="0" w:evenHBand="0" w:firstRowFirstColumn="0" w:firstRowLastColumn="0" w:lastRowFirstColumn="0" w:lastRowLastColumn="0"/>
            <w:tcW w:w="5529" w:type="dxa"/>
            <w:noWrap/>
            <w:hideMark/>
          </w:tcPr>
          <w:p w14:paraId="7E4579E5" w14:textId="77777777" w:rsidR="001A6DD6" w:rsidRPr="00D65CF9" w:rsidRDefault="001A6DD6" w:rsidP="00D65CF9">
            <w:pPr>
              <w:pStyle w:val="TableSpacing"/>
              <w:rPr>
                <w:b w:val="0"/>
              </w:rPr>
            </w:pPr>
            <w:r w:rsidRPr="00D7571B">
              <w:t>Variation</w:t>
            </w:r>
          </w:p>
        </w:tc>
        <w:tc>
          <w:tcPr>
            <w:tcW w:w="2551" w:type="dxa"/>
            <w:noWrap/>
            <w:hideMark/>
          </w:tcPr>
          <w:p w14:paraId="4A624618" w14:textId="13F12C29" w:rsidR="001A6DD6" w:rsidRPr="00E1270D" w:rsidRDefault="00D31AEE" w:rsidP="00D65CF9">
            <w:pPr>
              <w:pStyle w:val="TableSpacing"/>
              <w:cnfStyle w:val="000000000000" w:firstRow="0" w:lastRow="0" w:firstColumn="0" w:lastColumn="0" w:oddVBand="0" w:evenVBand="0" w:oddHBand="0" w:evenHBand="0" w:firstRowFirstColumn="0" w:firstRowLastColumn="0" w:lastRowFirstColumn="0" w:lastRowLastColumn="0"/>
            </w:pPr>
            <w:r>
              <w:t>13,540</w:t>
            </w:r>
          </w:p>
        </w:tc>
      </w:tr>
      <w:tr w:rsidR="001A6DD6" w:rsidRPr="00494D22" w14:paraId="44CB5CE2" w14:textId="77777777" w:rsidTr="006E214B">
        <w:trPr>
          <w:trHeight w:val="157"/>
        </w:trPr>
        <w:tc>
          <w:tcPr>
            <w:cnfStyle w:val="001000000000" w:firstRow="0" w:lastRow="0" w:firstColumn="1" w:lastColumn="0" w:oddVBand="0" w:evenVBand="0" w:oddHBand="0" w:evenHBand="0" w:firstRowFirstColumn="0" w:firstRowLastColumn="0" w:lastRowFirstColumn="0" w:lastRowLastColumn="0"/>
            <w:tcW w:w="5529" w:type="dxa"/>
            <w:noWrap/>
          </w:tcPr>
          <w:p w14:paraId="103A9B7C" w14:textId="77777777" w:rsidR="001A6DD6" w:rsidRPr="00D65CF9" w:rsidRDefault="001A6DD6" w:rsidP="00D65CF9">
            <w:pPr>
              <w:pStyle w:val="TableSpacing"/>
              <w:rPr>
                <w:b w:val="0"/>
              </w:rPr>
            </w:pPr>
            <w:r w:rsidRPr="00D7571B">
              <w:t>Licence Renewal</w:t>
            </w:r>
          </w:p>
        </w:tc>
        <w:tc>
          <w:tcPr>
            <w:tcW w:w="2551" w:type="dxa"/>
            <w:noWrap/>
          </w:tcPr>
          <w:p w14:paraId="336BACA7" w14:textId="2637DF63" w:rsidR="001A6DD6" w:rsidRPr="00E1270D" w:rsidRDefault="00D31AEE" w:rsidP="00D65CF9">
            <w:pPr>
              <w:pStyle w:val="TableSpacing"/>
              <w:cnfStyle w:val="000000000000" w:firstRow="0" w:lastRow="0" w:firstColumn="0" w:lastColumn="0" w:oddVBand="0" w:evenVBand="0" w:oddHBand="0" w:evenHBand="0" w:firstRowFirstColumn="0" w:firstRowLastColumn="0" w:lastRowFirstColumn="0" w:lastRowLastColumn="0"/>
            </w:pPr>
            <w:r>
              <w:t>13,540</w:t>
            </w:r>
          </w:p>
        </w:tc>
      </w:tr>
    </w:tbl>
    <w:p w14:paraId="2D7C40D4" w14:textId="0069DDD6" w:rsidR="00A331FD" w:rsidRDefault="00A331FD" w:rsidP="00D7571B"/>
    <w:p w14:paraId="33848749" w14:textId="77777777" w:rsidR="00A331FD" w:rsidRPr="00D65CF9" w:rsidRDefault="00A331FD" w:rsidP="00D65CF9">
      <w:pPr>
        <w:shd w:val="clear" w:color="auto" w:fill="E2F1EE"/>
        <w:rPr>
          <w:rStyle w:val="Emphasis"/>
        </w:rPr>
      </w:pPr>
      <w:r w:rsidRPr="00D65CF9">
        <w:rPr>
          <w:rStyle w:val="Emphasis"/>
        </w:rPr>
        <w:t>Example</w:t>
      </w:r>
    </w:p>
    <w:p w14:paraId="7E46BA9B" w14:textId="77777777" w:rsidR="00A331FD" w:rsidRDefault="00A331FD" w:rsidP="00D65CF9">
      <w:pPr>
        <w:shd w:val="clear" w:color="auto" w:fill="E2F1EE"/>
      </w:pPr>
      <w:r>
        <w:t>Sarah applies for a licence to export processed waste glass and plastics for a period of three years</w:t>
      </w:r>
      <w:r w:rsidRPr="00060049">
        <w:t xml:space="preserve">. </w:t>
      </w:r>
    </w:p>
    <w:p w14:paraId="117A499C" w14:textId="39ACB7F0" w:rsidR="00A331FD" w:rsidRPr="00A331FD" w:rsidRDefault="00A331FD" w:rsidP="00D65CF9">
      <w:pPr>
        <w:shd w:val="clear" w:color="auto" w:fill="E2F1EE"/>
      </w:pPr>
      <w:r>
        <w:t xml:space="preserve">Sarah is required to pay an application fee of </w:t>
      </w:r>
      <w:r w:rsidRPr="00A27F3E">
        <w:rPr>
          <w:b/>
          <w:bCs/>
        </w:rPr>
        <w:t>$</w:t>
      </w:r>
      <w:r>
        <w:rPr>
          <w:b/>
          <w:bCs/>
        </w:rPr>
        <w:t>19,090.</w:t>
      </w:r>
    </w:p>
    <w:p w14:paraId="6AFA28F6" w14:textId="08BD1EFB" w:rsidR="001A6DD6" w:rsidRDefault="00D772DD" w:rsidP="00D7571B">
      <w:pPr>
        <w:pStyle w:val="Heading2"/>
      </w:pPr>
      <w:bookmarkStart w:id="22" w:name="_Toc116383703"/>
      <w:bookmarkStart w:id="23" w:name="_Hlk110937992"/>
      <w:r>
        <w:lastRenderedPageBreak/>
        <w:t>Option</w:t>
      </w:r>
      <w:r w:rsidR="001A6DD6" w:rsidRPr="00AB7156">
        <w:t xml:space="preserve"> </w:t>
      </w:r>
      <w:r w:rsidR="00B42C10" w:rsidRPr="00AB7156">
        <w:t>Two</w:t>
      </w:r>
      <w:r w:rsidR="001A6DD6" w:rsidRPr="00AB7156">
        <w:t>: A base assessment fee and an additional fee for further assessment as required</w:t>
      </w:r>
      <w:bookmarkEnd w:id="22"/>
    </w:p>
    <w:p w14:paraId="504521EA" w14:textId="5908D255" w:rsidR="001A6DD6" w:rsidRDefault="00D772DD" w:rsidP="00D7571B">
      <w:r w:rsidRPr="00D17D44">
        <w:t>Option</w:t>
      </w:r>
      <w:r w:rsidR="001A6DD6" w:rsidRPr="00AE54E5">
        <w:rPr>
          <w:rFonts w:cstheme="minorHAnsi"/>
        </w:rPr>
        <w:t xml:space="preserve"> </w:t>
      </w:r>
      <w:r w:rsidR="001A6DD6">
        <w:rPr>
          <w:rFonts w:cstheme="minorHAnsi"/>
        </w:rPr>
        <w:t>T</w:t>
      </w:r>
      <w:r w:rsidR="001A6DD6" w:rsidRPr="00AE54E5">
        <w:rPr>
          <w:rFonts w:cstheme="minorHAnsi"/>
        </w:rPr>
        <w:t xml:space="preserve">wo </w:t>
      </w:r>
      <w:r>
        <w:rPr>
          <w:rFonts w:cstheme="minorHAnsi"/>
        </w:rPr>
        <w:t>ha</w:t>
      </w:r>
      <w:r w:rsidR="001A6DD6" w:rsidRPr="00AE54E5">
        <w:rPr>
          <w:rFonts w:cstheme="minorHAnsi"/>
        </w:rPr>
        <w:t xml:space="preserve">s a </w:t>
      </w:r>
      <w:r w:rsidR="00CF4AC0">
        <w:rPr>
          <w:rFonts w:cstheme="minorHAnsi"/>
        </w:rPr>
        <w:t>base assessment</w:t>
      </w:r>
      <w:r w:rsidR="00CF4AC0" w:rsidRPr="00AE54E5">
        <w:rPr>
          <w:rFonts w:cstheme="minorHAnsi"/>
        </w:rPr>
        <w:t xml:space="preserve"> </w:t>
      </w:r>
      <w:r w:rsidR="001A6DD6" w:rsidRPr="00AE54E5">
        <w:rPr>
          <w:rFonts w:cstheme="minorHAnsi"/>
        </w:rPr>
        <w:t xml:space="preserve">fee </w:t>
      </w:r>
      <w:r>
        <w:rPr>
          <w:rFonts w:cstheme="minorHAnsi"/>
        </w:rPr>
        <w:t>with</w:t>
      </w:r>
      <w:r w:rsidR="001A6DD6" w:rsidRPr="00AE54E5">
        <w:rPr>
          <w:rFonts w:cstheme="minorHAnsi"/>
        </w:rPr>
        <w:t xml:space="preserve"> a cap for the hours to complete</w:t>
      </w:r>
      <w:r w:rsidR="001A6DD6">
        <w:rPr>
          <w:rFonts w:cstheme="minorHAnsi"/>
        </w:rPr>
        <w:t xml:space="preserve"> </w:t>
      </w:r>
      <w:r w:rsidR="001A6DD6" w:rsidRPr="00AE54E5">
        <w:rPr>
          <w:rFonts w:cstheme="minorHAnsi"/>
        </w:rPr>
        <w:t xml:space="preserve">licence, variation, </w:t>
      </w:r>
      <w:r w:rsidR="00641554">
        <w:rPr>
          <w:rFonts w:cstheme="minorHAnsi"/>
        </w:rPr>
        <w:br/>
      </w:r>
      <w:r w:rsidR="001A6DD6" w:rsidRPr="00AE54E5">
        <w:rPr>
          <w:rFonts w:cstheme="minorHAnsi"/>
        </w:rPr>
        <w:t xml:space="preserve">or exemption assessments. </w:t>
      </w:r>
      <w:r w:rsidR="00236A53">
        <w:rPr>
          <w:rFonts w:cstheme="minorHAnsi"/>
        </w:rPr>
        <w:t>Applicants</w:t>
      </w:r>
      <w:r w:rsidR="00236A53" w:rsidRPr="00AE54E5">
        <w:rPr>
          <w:rFonts w:cstheme="minorHAnsi"/>
        </w:rPr>
        <w:t xml:space="preserve"> </w:t>
      </w:r>
      <w:r w:rsidR="001A6DD6" w:rsidRPr="00AE54E5">
        <w:rPr>
          <w:rFonts w:cstheme="minorHAnsi"/>
        </w:rPr>
        <w:t xml:space="preserve">would be charged for any additional assessment time required. </w:t>
      </w:r>
    </w:p>
    <w:p w14:paraId="0732F1E4" w14:textId="04CF6EEF" w:rsidR="001A6DD6" w:rsidRDefault="001A6DD6" w:rsidP="00D7571B">
      <w:pPr>
        <w:rPr>
          <w:rFonts w:cstheme="minorHAnsi"/>
        </w:rPr>
      </w:pPr>
      <w:r w:rsidRPr="00D17D44">
        <w:t xml:space="preserve">This </w:t>
      </w:r>
      <w:r w:rsidR="00D772DD">
        <w:rPr>
          <w:rFonts w:cstheme="minorHAnsi"/>
        </w:rPr>
        <w:t>option</w:t>
      </w:r>
      <w:r w:rsidRPr="00AE54E5">
        <w:rPr>
          <w:rFonts w:cstheme="minorHAnsi"/>
        </w:rPr>
        <w:t xml:space="preserve"> allows </w:t>
      </w:r>
      <w:r w:rsidR="009E48F3">
        <w:rPr>
          <w:rFonts w:cstheme="minorHAnsi"/>
        </w:rPr>
        <w:t xml:space="preserve">for </w:t>
      </w:r>
      <w:r w:rsidRPr="00AE54E5">
        <w:rPr>
          <w:rFonts w:cstheme="minorHAnsi"/>
        </w:rPr>
        <w:t>a lower fee to be charged</w:t>
      </w:r>
      <w:r w:rsidR="00583299">
        <w:rPr>
          <w:rFonts w:cstheme="minorHAnsi"/>
        </w:rPr>
        <w:t xml:space="preserve"> for most applications</w:t>
      </w:r>
      <w:r w:rsidRPr="00AE54E5">
        <w:rPr>
          <w:rFonts w:cstheme="minorHAnsi"/>
        </w:rPr>
        <w:t xml:space="preserve">, while still recovering the full efficient cost of assessing applications.  </w:t>
      </w:r>
      <w:r>
        <w:rPr>
          <w:rFonts w:cstheme="minorHAnsi"/>
        </w:rPr>
        <w:t>Th</w:t>
      </w:r>
      <w:r w:rsidR="009E48F3">
        <w:rPr>
          <w:rFonts w:cstheme="minorHAnsi"/>
        </w:rPr>
        <w:t xml:space="preserve">is </w:t>
      </w:r>
      <w:r w:rsidR="00D772DD">
        <w:rPr>
          <w:rFonts w:cstheme="minorHAnsi"/>
        </w:rPr>
        <w:t>option</w:t>
      </w:r>
      <w:r w:rsidR="009E48F3">
        <w:rPr>
          <w:rFonts w:cstheme="minorHAnsi"/>
        </w:rPr>
        <w:t xml:space="preserve"> is designed to</w:t>
      </w:r>
      <w:r w:rsidR="0057014C">
        <w:rPr>
          <w:rFonts w:cstheme="minorHAnsi"/>
        </w:rPr>
        <w:t xml:space="preserve"> </w:t>
      </w:r>
      <w:r w:rsidRPr="00AE54E5">
        <w:rPr>
          <w:rFonts w:cstheme="minorHAnsi"/>
        </w:rPr>
        <w:t>incentivise well-organised, high quality, and complete applications to avoid additional costs.</w:t>
      </w:r>
      <w:r w:rsidR="00FF0CF6">
        <w:rPr>
          <w:rFonts w:cstheme="minorHAnsi"/>
        </w:rPr>
        <w:t xml:space="preserve"> However, this option will require more administrative effort from the department to calculate and recover additional fees.</w:t>
      </w:r>
      <w:r w:rsidR="00A341B4">
        <w:rPr>
          <w:rFonts w:cstheme="minorHAnsi"/>
        </w:rPr>
        <w:t xml:space="preserve"> This will mean consequential effort from applicants to engage with the department to pay these additional fees.</w:t>
      </w:r>
    </w:p>
    <w:p w14:paraId="26084FA1" w14:textId="3DD70FBD" w:rsidR="00D930D1" w:rsidRDefault="00D772DD" w:rsidP="00D7571B">
      <w:pPr>
        <w:rPr>
          <w:rFonts w:cstheme="minorHAnsi"/>
        </w:rPr>
      </w:pPr>
      <w:r w:rsidRPr="00D17D44">
        <w:t xml:space="preserve">On average, fees paid by applicants will be the same under either option. However, under </w:t>
      </w:r>
      <w:r w:rsidR="00FF0CF6">
        <w:rPr>
          <w:rFonts w:cstheme="minorHAnsi"/>
        </w:rPr>
        <w:t>this option, applicants with more complicated or less organised applications will pay more – with the most complicated potentially paying substantially more than under Option One.</w:t>
      </w:r>
    </w:p>
    <w:p w14:paraId="6967A4E1" w14:textId="64C45CCB" w:rsidR="00CC6A28" w:rsidRPr="00CC6A28" w:rsidRDefault="00CC6A28" w:rsidP="00D7571B">
      <w:pPr>
        <w:pStyle w:val="Heading3"/>
      </w:pPr>
      <w:bookmarkStart w:id="24" w:name="_Toc116383704"/>
      <w:r w:rsidRPr="00CC6A28">
        <w:t>Capped hours</w:t>
      </w:r>
      <w:bookmarkEnd w:id="24"/>
    </w:p>
    <w:p w14:paraId="3D1A4602" w14:textId="7294F72E" w:rsidR="001A6DD6" w:rsidRDefault="00583299" w:rsidP="00D7571B">
      <w:pPr>
        <w:rPr>
          <w:rFonts w:cstheme="minorHAnsi"/>
        </w:rPr>
      </w:pPr>
      <w:r w:rsidRPr="00D17D44">
        <w:t xml:space="preserve">Assessment officers have recorded the time they spent </w:t>
      </w:r>
      <w:r>
        <w:rPr>
          <w:rFonts w:cstheme="minorHAnsi"/>
        </w:rPr>
        <w:t>assessing applications.</w:t>
      </w:r>
      <w:r w:rsidR="00CD044F">
        <w:rPr>
          <w:rStyle w:val="FootnoteReference"/>
          <w:rFonts w:cstheme="minorHAnsi"/>
        </w:rPr>
        <w:footnoteReference w:id="2"/>
      </w:r>
      <w:r>
        <w:rPr>
          <w:rFonts w:cstheme="minorHAnsi"/>
        </w:rPr>
        <w:t xml:space="preserve"> </w:t>
      </w:r>
      <w:r w:rsidR="001A6DD6" w:rsidRPr="00AE54E5">
        <w:rPr>
          <w:rFonts w:cstheme="minorHAnsi"/>
        </w:rPr>
        <w:t>Eighty</w:t>
      </w:r>
      <w:r w:rsidR="001A6DD6">
        <w:rPr>
          <w:rFonts w:cstheme="minorHAnsi"/>
        </w:rPr>
        <w:t xml:space="preserve"> </w:t>
      </w:r>
      <w:r w:rsidR="001A6DD6" w:rsidRPr="00AE54E5">
        <w:rPr>
          <w:rFonts w:cstheme="minorHAnsi"/>
        </w:rPr>
        <w:t xml:space="preserve">per cent of assessments were completed in less than 75 hours, or two working weeks. There have been eight </w:t>
      </w:r>
      <w:r w:rsidR="001A6DD6">
        <w:rPr>
          <w:rFonts w:cstheme="minorHAnsi"/>
        </w:rPr>
        <w:t>“</w:t>
      </w:r>
      <w:r w:rsidR="001A6DD6" w:rsidRPr="00AE54E5">
        <w:rPr>
          <w:rFonts w:cstheme="minorHAnsi"/>
        </w:rPr>
        <w:t>complex</w:t>
      </w:r>
      <w:r w:rsidR="001A6DD6">
        <w:rPr>
          <w:rFonts w:cstheme="minorHAnsi"/>
        </w:rPr>
        <w:t>”</w:t>
      </w:r>
      <w:r w:rsidR="001A6DD6" w:rsidRPr="00AE54E5">
        <w:rPr>
          <w:rFonts w:cstheme="minorHAnsi"/>
        </w:rPr>
        <w:t xml:space="preserve"> assessments that required more than 112.5 hours, or three working weeks. They represent less than 10 per cent of assessments, but over 25 per cent of the recorded effort</w:t>
      </w:r>
      <w:r w:rsidR="001A6DD6">
        <w:rPr>
          <w:rFonts w:cstheme="minorHAnsi"/>
        </w:rPr>
        <w:t>.</w:t>
      </w:r>
    </w:p>
    <w:p w14:paraId="7DC5115D" w14:textId="3F629171" w:rsidR="001A6DD6" w:rsidRPr="00D17D44" w:rsidRDefault="002E1FE2" w:rsidP="008F59C8">
      <w:r w:rsidRPr="00D17D44">
        <w:t xml:space="preserve">Under this </w:t>
      </w:r>
      <w:r w:rsidR="00D772DD" w:rsidRPr="00D17D44">
        <w:t>option</w:t>
      </w:r>
      <w:r w:rsidRPr="00D17D44">
        <w:t xml:space="preserve">, 90 per cent of applications would be expected to pay a lower rate than under </w:t>
      </w:r>
      <w:r w:rsidR="00D772DD" w:rsidRPr="00D17D44">
        <w:t>Option</w:t>
      </w:r>
      <w:r w:rsidRPr="00D17D44">
        <w:t xml:space="preserve"> One, while the </w:t>
      </w:r>
      <w:r w:rsidR="00213CD4" w:rsidRPr="00D17D44">
        <w:t xml:space="preserve">remaining </w:t>
      </w:r>
      <w:r w:rsidRPr="00D17D44">
        <w:t xml:space="preserve">10 per cent </w:t>
      </w:r>
      <w:r w:rsidR="00213CD4" w:rsidRPr="00D17D44">
        <w:t>(</w:t>
      </w:r>
      <w:r w:rsidRPr="00D17D44">
        <w:t>that take more than three working weeks</w:t>
      </w:r>
      <w:r w:rsidR="00213CD4" w:rsidRPr="00D17D44">
        <w:t>)</w:t>
      </w:r>
      <w:r w:rsidRPr="00D17D44">
        <w:t xml:space="preserve"> would pay a higher rate</w:t>
      </w:r>
      <w:r w:rsidR="00D772DD" w:rsidRPr="00D17D44">
        <w:t xml:space="preserve"> than under Option One</w:t>
      </w:r>
      <w:r w:rsidRPr="00D17D44">
        <w:t>.</w:t>
      </w:r>
      <w:r w:rsidR="00C65952" w:rsidRPr="00D17D44">
        <w:t xml:space="preserve"> </w:t>
      </w:r>
      <w:r w:rsidR="001A6DD6" w:rsidRPr="00D17D44">
        <w:t>The proposed hourly caps are outlined</w:t>
      </w:r>
      <w:r w:rsidR="00CC6A28" w:rsidRPr="00D17D44">
        <w:t xml:space="preserve"> </w:t>
      </w:r>
      <w:r w:rsidR="00DD28D8">
        <w:t xml:space="preserve">on </w:t>
      </w:r>
      <w:r w:rsidR="00DD28D8">
        <w:fldChar w:fldCharType="begin"/>
      </w:r>
      <w:r w:rsidR="00DD28D8">
        <w:instrText xml:space="preserve"> REF _Ref116296889 \h </w:instrText>
      </w:r>
      <w:r w:rsidR="00DD28D8">
        <w:fldChar w:fldCharType="separate"/>
      </w:r>
      <w:r w:rsidR="00AF29EE">
        <w:t xml:space="preserve">Table </w:t>
      </w:r>
      <w:r w:rsidR="00AF29EE">
        <w:rPr>
          <w:noProof/>
        </w:rPr>
        <w:t>5</w:t>
      </w:r>
      <w:r w:rsidR="00DD28D8">
        <w:fldChar w:fldCharType="end"/>
      </w:r>
      <w:r w:rsidR="00DD28D8">
        <w:t>.</w:t>
      </w:r>
    </w:p>
    <w:p w14:paraId="07493FC4" w14:textId="716BD9BE" w:rsidR="00652A5D" w:rsidRDefault="00652A5D" w:rsidP="00D65CF9">
      <w:pPr>
        <w:pStyle w:val="Caption"/>
      </w:pPr>
      <w:bookmarkStart w:id="25" w:name="_Ref116296889"/>
      <w:r>
        <w:t xml:space="preserve">Table </w:t>
      </w:r>
      <w:fldSimple w:instr=" SEQ Table \* ARABIC ">
        <w:r w:rsidR="00AF29EE">
          <w:rPr>
            <w:noProof/>
          </w:rPr>
          <w:t>5</w:t>
        </w:r>
      </w:fldSimple>
      <w:bookmarkEnd w:id="25"/>
      <w:r w:rsidR="008F59C8" w:rsidRPr="008F59C8">
        <w:t>: Capped hours per application type</w:t>
      </w:r>
    </w:p>
    <w:tbl>
      <w:tblPr>
        <w:tblStyle w:val="GridTable1Light-Accent2"/>
        <w:tblW w:w="8075" w:type="dxa"/>
        <w:tblInd w:w="561" w:type="dxa"/>
        <w:tblLook w:val="04A0" w:firstRow="1" w:lastRow="0" w:firstColumn="1" w:lastColumn="0" w:noHBand="0" w:noVBand="1"/>
      </w:tblPr>
      <w:tblGrid>
        <w:gridCol w:w="4699"/>
        <w:gridCol w:w="3376"/>
      </w:tblGrid>
      <w:tr w:rsidR="001A6DD6" w:rsidRPr="00AE54E5" w14:paraId="488AD16C" w14:textId="77777777" w:rsidTr="00D65CF9">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0" w:type="dxa"/>
            <w:noWrap/>
            <w:hideMark/>
          </w:tcPr>
          <w:p w14:paraId="7F48E2CB" w14:textId="77777777" w:rsidR="001A6DD6" w:rsidRPr="00AE54E5" w:rsidRDefault="001A6DD6" w:rsidP="00D65CF9">
            <w:pPr>
              <w:pStyle w:val="TableSpacing"/>
              <w:rPr>
                <w:b w:val="0"/>
              </w:rPr>
            </w:pPr>
            <w:r w:rsidRPr="00AE54E5">
              <w:t>Application Type</w:t>
            </w:r>
          </w:p>
        </w:tc>
        <w:tc>
          <w:tcPr>
            <w:tcW w:w="0" w:type="dxa"/>
            <w:noWrap/>
            <w:hideMark/>
          </w:tcPr>
          <w:p w14:paraId="2A318367" w14:textId="77777777" w:rsidR="001A6DD6" w:rsidRPr="00AE54E5" w:rsidRDefault="001A6DD6" w:rsidP="00D65CF9">
            <w:pPr>
              <w:pStyle w:val="TableSpacing"/>
              <w:cnfStyle w:val="100000000000" w:firstRow="1" w:lastRow="0" w:firstColumn="0" w:lastColumn="0" w:oddVBand="0" w:evenVBand="0" w:oddHBand="0" w:evenHBand="0" w:firstRowFirstColumn="0" w:firstRowLastColumn="0" w:lastRowFirstColumn="0" w:lastRowLastColumn="0"/>
              <w:rPr>
                <w:b w:val="0"/>
              </w:rPr>
            </w:pPr>
            <w:r>
              <w:t>Capped Hours</w:t>
            </w:r>
          </w:p>
        </w:tc>
      </w:tr>
      <w:tr w:rsidR="001A6DD6" w:rsidRPr="00AE54E5" w14:paraId="217724BE" w14:textId="77777777" w:rsidTr="00D65CF9">
        <w:trPr>
          <w:trHeight w:val="205"/>
        </w:trPr>
        <w:tc>
          <w:tcPr>
            <w:cnfStyle w:val="001000000000" w:firstRow="0" w:lastRow="0" w:firstColumn="1" w:lastColumn="0" w:oddVBand="0" w:evenVBand="0" w:oddHBand="0" w:evenHBand="0" w:firstRowFirstColumn="0" w:firstRowLastColumn="0" w:lastRowFirstColumn="0" w:lastRowLastColumn="0"/>
            <w:tcW w:w="0" w:type="dxa"/>
            <w:noWrap/>
            <w:hideMark/>
          </w:tcPr>
          <w:p w14:paraId="1090EF42" w14:textId="406416C4" w:rsidR="001A6DD6" w:rsidRPr="00D65CF9" w:rsidRDefault="00357D4D" w:rsidP="00D65CF9">
            <w:pPr>
              <w:pStyle w:val="TableSpacing"/>
              <w:rPr>
                <w:b w:val="0"/>
              </w:rPr>
            </w:pPr>
            <w:r w:rsidRPr="00BF7506">
              <w:t>Licence</w:t>
            </w:r>
          </w:p>
        </w:tc>
        <w:tc>
          <w:tcPr>
            <w:tcW w:w="0" w:type="dxa"/>
            <w:noWrap/>
            <w:hideMark/>
          </w:tcPr>
          <w:p w14:paraId="23377458" w14:textId="77777777" w:rsidR="001A6DD6" w:rsidRPr="00AE54E5" w:rsidRDefault="001A6DD6" w:rsidP="00D65CF9">
            <w:pPr>
              <w:pStyle w:val="TableSpacing"/>
              <w:jc w:val="right"/>
              <w:cnfStyle w:val="000000000000" w:firstRow="0" w:lastRow="0" w:firstColumn="0" w:lastColumn="0" w:oddVBand="0" w:evenVBand="0" w:oddHBand="0" w:evenHBand="0" w:firstRowFirstColumn="0" w:firstRowLastColumn="0" w:lastRowFirstColumn="0" w:lastRowLastColumn="0"/>
            </w:pPr>
            <w:r>
              <w:t>112.5</w:t>
            </w:r>
          </w:p>
        </w:tc>
      </w:tr>
      <w:tr w:rsidR="001A6DD6" w:rsidRPr="00AE54E5" w14:paraId="7FD5F01B" w14:textId="77777777" w:rsidTr="00D65CF9">
        <w:trPr>
          <w:trHeight w:val="205"/>
        </w:trPr>
        <w:tc>
          <w:tcPr>
            <w:cnfStyle w:val="001000000000" w:firstRow="0" w:lastRow="0" w:firstColumn="1" w:lastColumn="0" w:oddVBand="0" w:evenVBand="0" w:oddHBand="0" w:evenHBand="0" w:firstRowFirstColumn="0" w:firstRowLastColumn="0" w:lastRowFirstColumn="0" w:lastRowLastColumn="0"/>
            <w:tcW w:w="0" w:type="dxa"/>
            <w:noWrap/>
            <w:hideMark/>
          </w:tcPr>
          <w:p w14:paraId="72C95F84" w14:textId="77777777" w:rsidR="001A6DD6" w:rsidRPr="00D65CF9" w:rsidRDefault="001A6DD6" w:rsidP="00D65CF9">
            <w:pPr>
              <w:pStyle w:val="TableSpacing"/>
              <w:rPr>
                <w:b w:val="0"/>
              </w:rPr>
            </w:pPr>
            <w:r w:rsidRPr="00BF7506">
              <w:t>Exemption</w:t>
            </w:r>
          </w:p>
        </w:tc>
        <w:tc>
          <w:tcPr>
            <w:tcW w:w="0" w:type="dxa"/>
            <w:noWrap/>
            <w:hideMark/>
          </w:tcPr>
          <w:p w14:paraId="32624AA2" w14:textId="77777777" w:rsidR="001A6DD6" w:rsidRPr="00AE54E5" w:rsidRDefault="001A6DD6" w:rsidP="00D65CF9">
            <w:pPr>
              <w:pStyle w:val="TableSpacing"/>
              <w:jc w:val="right"/>
              <w:cnfStyle w:val="000000000000" w:firstRow="0" w:lastRow="0" w:firstColumn="0" w:lastColumn="0" w:oddVBand="0" w:evenVBand="0" w:oddHBand="0" w:evenHBand="0" w:firstRowFirstColumn="0" w:firstRowLastColumn="0" w:lastRowFirstColumn="0" w:lastRowLastColumn="0"/>
            </w:pPr>
            <w:r>
              <w:t>75</w:t>
            </w:r>
          </w:p>
        </w:tc>
      </w:tr>
      <w:tr w:rsidR="001A6DD6" w:rsidRPr="00AE54E5" w14:paraId="59709E83" w14:textId="77777777" w:rsidTr="00D65CF9">
        <w:trPr>
          <w:trHeight w:val="205"/>
        </w:trPr>
        <w:tc>
          <w:tcPr>
            <w:cnfStyle w:val="001000000000" w:firstRow="0" w:lastRow="0" w:firstColumn="1" w:lastColumn="0" w:oddVBand="0" w:evenVBand="0" w:oddHBand="0" w:evenHBand="0" w:firstRowFirstColumn="0" w:firstRowLastColumn="0" w:lastRowFirstColumn="0" w:lastRowLastColumn="0"/>
            <w:tcW w:w="0" w:type="dxa"/>
            <w:noWrap/>
            <w:hideMark/>
          </w:tcPr>
          <w:p w14:paraId="4D69320C" w14:textId="77777777" w:rsidR="001A6DD6" w:rsidRPr="00D65CF9" w:rsidRDefault="001A6DD6" w:rsidP="00D65CF9">
            <w:pPr>
              <w:pStyle w:val="TableSpacing"/>
              <w:rPr>
                <w:b w:val="0"/>
              </w:rPr>
            </w:pPr>
            <w:r w:rsidRPr="00BF7506">
              <w:t>Variation</w:t>
            </w:r>
          </w:p>
        </w:tc>
        <w:tc>
          <w:tcPr>
            <w:tcW w:w="0" w:type="dxa"/>
            <w:noWrap/>
            <w:hideMark/>
          </w:tcPr>
          <w:p w14:paraId="57B1C21C" w14:textId="77777777" w:rsidR="001A6DD6" w:rsidRPr="00AE54E5" w:rsidRDefault="001A6DD6" w:rsidP="00D65CF9">
            <w:pPr>
              <w:pStyle w:val="TableSpacing"/>
              <w:jc w:val="right"/>
              <w:cnfStyle w:val="000000000000" w:firstRow="0" w:lastRow="0" w:firstColumn="0" w:lastColumn="0" w:oddVBand="0" w:evenVBand="0" w:oddHBand="0" w:evenHBand="0" w:firstRowFirstColumn="0" w:firstRowLastColumn="0" w:lastRowFirstColumn="0" w:lastRowLastColumn="0"/>
            </w:pPr>
            <w:r>
              <w:t>75</w:t>
            </w:r>
          </w:p>
        </w:tc>
      </w:tr>
    </w:tbl>
    <w:p w14:paraId="1CCDA223" w14:textId="2727D10D" w:rsidR="00CC6A28" w:rsidRPr="004F1E76" w:rsidRDefault="00CC6A28" w:rsidP="00D65CF9">
      <w:pPr>
        <w:pStyle w:val="Heading3"/>
        <w:spacing w:before="200"/>
      </w:pPr>
      <w:bookmarkStart w:id="26" w:name="_Toc116383705"/>
      <w:r>
        <w:t>Calculation of flat fee</w:t>
      </w:r>
      <w:r w:rsidR="00823637">
        <w:t xml:space="preserve"> component</w:t>
      </w:r>
      <w:bookmarkEnd w:id="26"/>
    </w:p>
    <w:p w14:paraId="74642B72" w14:textId="497FB2D7" w:rsidR="00021CB0" w:rsidRPr="00021CB0" w:rsidRDefault="00021CB0" w:rsidP="00D7571B">
      <w:pPr>
        <w:rPr>
          <w:rFonts w:cstheme="minorHAnsi"/>
        </w:rPr>
      </w:pPr>
      <w:r w:rsidRPr="00D17D44">
        <w:t xml:space="preserve">Of the eight “more complex” </w:t>
      </w:r>
      <w:r w:rsidRPr="00021CB0">
        <w:rPr>
          <w:rFonts w:cstheme="minorHAnsi"/>
        </w:rPr>
        <w:t xml:space="preserve">assessments, noted above, six were licence applications and two variation applications. The reason for a lack of complex exemption applications is likely due to the small </w:t>
      </w:r>
      <w:r w:rsidR="00641554">
        <w:rPr>
          <w:rFonts w:cstheme="minorHAnsi"/>
        </w:rPr>
        <w:t xml:space="preserve">number </w:t>
      </w:r>
      <w:r w:rsidRPr="00021CB0">
        <w:rPr>
          <w:rFonts w:cstheme="minorHAnsi"/>
        </w:rPr>
        <w:t>processed so far (meaning a limited dataset) rather than any greater inherent simplicity.</w:t>
      </w:r>
    </w:p>
    <w:p w14:paraId="07F436A5" w14:textId="77777777" w:rsidR="00641554" w:rsidRDefault="00641554">
      <w:pPr>
        <w:spacing w:after="160"/>
      </w:pPr>
      <w:r>
        <w:br w:type="page"/>
      </w:r>
    </w:p>
    <w:p w14:paraId="11B69859" w14:textId="19164F7D" w:rsidR="00021CB0" w:rsidRDefault="00021CB0" w:rsidP="00D7571B">
      <w:pPr>
        <w:rPr>
          <w:rFonts w:cstheme="minorHAnsi"/>
        </w:rPr>
      </w:pPr>
      <w:r w:rsidRPr="00D17D44">
        <w:lastRenderedPageBreak/>
        <w:t xml:space="preserve">The time spent on </w:t>
      </w:r>
      <w:r w:rsidR="007E1D73">
        <w:rPr>
          <w:rFonts w:cstheme="minorHAnsi"/>
        </w:rPr>
        <w:t>complex</w:t>
      </w:r>
      <w:r w:rsidRPr="00021CB0">
        <w:rPr>
          <w:rFonts w:cstheme="minorHAnsi"/>
        </w:rPr>
        <w:t xml:space="preserve"> applications </w:t>
      </w:r>
      <w:r w:rsidR="00236A53">
        <w:rPr>
          <w:rFonts w:cstheme="minorHAnsi"/>
        </w:rPr>
        <w:t>was</w:t>
      </w:r>
      <w:r w:rsidR="00236A53" w:rsidRPr="00021CB0">
        <w:rPr>
          <w:rFonts w:cstheme="minorHAnsi"/>
        </w:rPr>
        <w:t xml:space="preserve"> </w:t>
      </w:r>
      <w:r w:rsidRPr="00021CB0">
        <w:rPr>
          <w:rFonts w:cstheme="minorHAnsi"/>
        </w:rPr>
        <w:t>removed from the total actual hours</w:t>
      </w:r>
      <w:r w:rsidR="00C65952">
        <w:rPr>
          <w:rFonts w:cstheme="minorHAnsi"/>
        </w:rPr>
        <w:t xml:space="preserve"> used to calculate the models</w:t>
      </w:r>
      <w:r w:rsidRPr="00021CB0">
        <w:rPr>
          <w:rFonts w:cstheme="minorHAnsi"/>
        </w:rPr>
        <w:t xml:space="preserve">. </w:t>
      </w:r>
      <w:r w:rsidR="00236A53">
        <w:rPr>
          <w:rFonts w:cstheme="minorHAnsi"/>
        </w:rPr>
        <w:t>This</w:t>
      </w:r>
      <w:r w:rsidRPr="00021CB0">
        <w:rPr>
          <w:rFonts w:cstheme="minorHAnsi"/>
        </w:rPr>
        <w:t xml:space="preserve"> reduced the actual hours for </w:t>
      </w:r>
      <w:r w:rsidR="007E1D73">
        <w:rPr>
          <w:rFonts w:cstheme="minorHAnsi"/>
        </w:rPr>
        <w:t>licen</w:t>
      </w:r>
      <w:r w:rsidR="0057014C">
        <w:rPr>
          <w:rFonts w:cstheme="minorHAnsi"/>
        </w:rPr>
        <w:t>c</w:t>
      </w:r>
      <w:r w:rsidR="007E1D73">
        <w:rPr>
          <w:rFonts w:cstheme="minorHAnsi"/>
        </w:rPr>
        <w:t>e</w:t>
      </w:r>
      <w:r w:rsidR="00236A53">
        <w:rPr>
          <w:rFonts w:cstheme="minorHAnsi"/>
        </w:rPr>
        <w:t>s</w:t>
      </w:r>
      <w:r w:rsidRPr="00021CB0">
        <w:rPr>
          <w:rFonts w:cstheme="minorHAnsi"/>
        </w:rPr>
        <w:t xml:space="preserve"> and variations, but not exemptions</w:t>
      </w:r>
      <w:r w:rsidR="00A76039">
        <w:rPr>
          <w:rFonts w:cstheme="minorHAnsi"/>
        </w:rPr>
        <w:t>,</w:t>
      </w:r>
      <w:r w:rsidR="00E94B3C">
        <w:rPr>
          <w:rFonts w:cstheme="minorHAnsi"/>
        </w:rPr>
        <w:t xml:space="preserve"> </w:t>
      </w:r>
      <w:r w:rsidR="00A76039">
        <w:rPr>
          <w:rFonts w:cstheme="minorHAnsi"/>
        </w:rPr>
        <w:t xml:space="preserve">due to </w:t>
      </w:r>
      <w:r w:rsidR="002E1FE2">
        <w:rPr>
          <w:rFonts w:cstheme="minorHAnsi"/>
        </w:rPr>
        <w:t>the</w:t>
      </w:r>
      <w:r w:rsidR="00A76039">
        <w:rPr>
          <w:rFonts w:cstheme="minorHAnsi"/>
        </w:rPr>
        <w:t xml:space="preserve"> absence of historical complex exemption applications and therefore a lack of data</w:t>
      </w:r>
      <w:r>
        <w:rPr>
          <w:rFonts w:cstheme="minorHAnsi"/>
        </w:rPr>
        <w:t xml:space="preserve">. </w:t>
      </w:r>
      <w:r w:rsidR="00C65952">
        <w:rPr>
          <w:rFonts w:cstheme="minorHAnsi"/>
        </w:rPr>
        <w:t>However, this also made</w:t>
      </w:r>
      <w:r>
        <w:rPr>
          <w:rFonts w:cstheme="minorHAnsi"/>
        </w:rPr>
        <w:t xml:space="preserve"> exemption applications more expensive than in </w:t>
      </w:r>
      <w:r w:rsidR="00D772DD">
        <w:rPr>
          <w:rFonts w:cstheme="minorHAnsi"/>
        </w:rPr>
        <w:t>Option</w:t>
      </w:r>
      <w:r>
        <w:rPr>
          <w:rFonts w:cstheme="minorHAnsi"/>
        </w:rPr>
        <w:t xml:space="preserve"> One</w:t>
      </w:r>
      <w:r w:rsidR="00A76039">
        <w:rPr>
          <w:rFonts w:cstheme="minorHAnsi"/>
        </w:rPr>
        <w:t xml:space="preserve"> unless adjusted</w:t>
      </w:r>
      <w:r>
        <w:rPr>
          <w:rFonts w:cstheme="minorHAnsi"/>
        </w:rPr>
        <w:t xml:space="preserve">. </w:t>
      </w:r>
    </w:p>
    <w:p w14:paraId="11DAE11D" w14:textId="6802414F" w:rsidR="00652A5D" w:rsidRPr="008F59C8" w:rsidRDefault="00652A5D" w:rsidP="00D65CF9">
      <w:pPr>
        <w:pStyle w:val="Caption"/>
      </w:pPr>
      <w:r w:rsidRPr="008F59C8">
        <w:t xml:space="preserve">Table </w:t>
      </w:r>
      <w:fldSimple w:instr=" SEQ Table \* ARABIC ">
        <w:r w:rsidR="00AF29EE">
          <w:rPr>
            <w:noProof/>
          </w:rPr>
          <w:t>6</w:t>
        </w:r>
      </w:fldSimple>
      <w:r w:rsidR="008F59C8" w:rsidRPr="008F59C8">
        <w:t>: Actual hours vs. Hours without complex cases</w:t>
      </w:r>
    </w:p>
    <w:tbl>
      <w:tblPr>
        <w:tblStyle w:val="GridTable1Light-Accent2"/>
        <w:tblW w:w="8080" w:type="dxa"/>
        <w:tblInd w:w="562" w:type="dxa"/>
        <w:tblLook w:val="04A0" w:firstRow="1" w:lastRow="0" w:firstColumn="1" w:lastColumn="0" w:noHBand="0" w:noVBand="1"/>
      </w:tblPr>
      <w:tblGrid>
        <w:gridCol w:w="3985"/>
        <w:gridCol w:w="4095"/>
      </w:tblGrid>
      <w:tr w:rsidR="001B1E9A" w:rsidRPr="00494D22" w14:paraId="6A110BCD" w14:textId="77777777" w:rsidTr="00D65CF9">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0" w:type="dxa"/>
            <w:shd w:val="clear" w:color="auto" w:fill="E2F1EE" w:themeFill="accent2" w:themeFillTint="1A"/>
            <w:noWrap/>
            <w:hideMark/>
          </w:tcPr>
          <w:p w14:paraId="209BB031" w14:textId="3D3B69A5" w:rsidR="001B1E9A" w:rsidRPr="00652A5D" w:rsidRDefault="001B1E9A" w:rsidP="00D65CF9">
            <w:pPr>
              <w:pStyle w:val="TableSpacing"/>
            </w:pPr>
            <w:r w:rsidRPr="00652A5D">
              <w:t>Application Type</w:t>
            </w:r>
            <w:r w:rsidR="00CD044F" w:rsidRPr="00652A5D">
              <w:t xml:space="preserve"> – all cases</w:t>
            </w:r>
          </w:p>
        </w:tc>
        <w:tc>
          <w:tcPr>
            <w:tcW w:w="0" w:type="dxa"/>
            <w:shd w:val="clear" w:color="auto" w:fill="E2F1EE" w:themeFill="accent2" w:themeFillTint="1A"/>
          </w:tcPr>
          <w:p w14:paraId="1F4634F8" w14:textId="77777777" w:rsidR="001B1E9A" w:rsidRPr="00652A5D" w:rsidRDefault="001B1E9A" w:rsidP="00D65CF9">
            <w:pPr>
              <w:pStyle w:val="TableSpacing"/>
              <w:cnfStyle w:val="100000000000" w:firstRow="1" w:lastRow="0" w:firstColumn="0" w:lastColumn="0" w:oddVBand="0" w:evenVBand="0" w:oddHBand="0" w:evenHBand="0" w:firstRowFirstColumn="0" w:firstRowLastColumn="0" w:lastRowFirstColumn="0" w:lastRowLastColumn="0"/>
            </w:pPr>
            <w:r w:rsidRPr="00652A5D">
              <w:t>Cost Per Assessment</w:t>
            </w:r>
          </w:p>
          <w:p w14:paraId="7921C9D2" w14:textId="15DE20DF" w:rsidR="001B1E9A" w:rsidRPr="00652A5D" w:rsidRDefault="001B1E9A" w:rsidP="00D65CF9">
            <w:pPr>
              <w:pStyle w:val="TableSpacing"/>
              <w:cnfStyle w:val="100000000000" w:firstRow="1" w:lastRow="0" w:firstColumn="0" w:lastColumn="0" w:oddVBand="0" w:evenVBand="0" w:oddHBand="0" w:evenHBand="0" w:firstRowFirstColumn="0" w:firstRowLastColumn="0" w:lastRowFirstColumn="0" w:lastRowLastColumn="0"/>
            </w:pPr>
            <w:r w:rsidRPr="00652A5D">
              <w:t>($)</w:t>
            </w:r>
          </w:p>
        </w:tc>
      </w:tr>
      <w:tr w:rsidR="001B1E9A" w:rsidRPr="00494D22" w14:paraId="31C0633C"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hideMark/>
          </w:tcPr>
          <w:p w14:paraId="2AFEA372" w14:textId="532BA3B7" w:rsidR="001B1E9A" w:rsidRPr="00D65CF9" w:rsidRDefault="001B1E9A" w:rsidP="00D65CF9">
            <w:pPr>
              <w:pStyle w:val="TableSpacing"/>
              <w:rPr>
                <w:b w:val="0"/>
              </w:rPr>
            </w:pPr>
            <w:r w:rsidRPr="00BF7506">
              <w:t>Licence</w:t>
            </w:r>
          </w:p>
        </w:tc>
        <w:tc>
          <w:tcPr>
            <w:tcW w:w="0" w:type="dxa"/>
          </w:tcPr>
          <w:p w14:paraId="53282948" w14:textId="1E0DDF07"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29,376</w:t>
            </w:r>
          </w:p>
        </w:tc>
      </w:tr>
      <w:tr w:rsidR="001B1E9A" w:rsidRPr="00494D22" w14:paraId="5C7B405C"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hideMark/>
          </w:tcPr>
          <w:p w14:paraId="3CABB84F" w14:textId="77777777" w:rsidR="001B1E9A" w:rsidRPr="00D65CF9" w:rsidRDefault="001B1E9A" w:rsidP="00D65CF9">
            <w:pPr>
              <w:pStyle w:val="TableSpacing"/>
              <w:rPr>
                <w:b w:val="0"/>
              </w:rPr>
            </w:pPr>
            <w:r w:rsidRPr="00BF7506">
              <w:t>Exemption</w:t>
            </w:r>
          </w:p>
        </w:tc>
        <w:tc>
          <w:tcPr>
            <w:tcW w:w="0" w:type="dxa"/>
          </w:tcPr>
          <w:p w14:paraId="3577010B" w14:textId="1531E4E4"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19,939</w:t>
            </w:r>
          </w:p>
        </w:tc>
      </w:tr>
      <w:tr w:rsidR="001B1E9A" w:rsidRPr="00494D22" w14:paraId="650D22B1"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hideMark/>
          </w:tcPr>
          <w:p w14:paraId="7F60E2CF" w14:textId="77777777" w:rsidR="001B1E9A" w:rsidRPr="00D65CF9" w:rsidRDefault="001B1E9A" w:rsidP="00D65CF9">
            <w:pPr>
              <w:pStyle w:val="TableSpacing"/>
              <w:rPr>
                <w:b w:val="0"/>
              </w:rPr>
            </w:pPr>
            <w:r w:rsidRPr="00BF7506">
              <w:t>Variation</w:t>
            </w:r>
          </w:p>
        </w:tc>
        <w:tc>
          <w:tcPr>
            <w:tcW w:w="0" w:type="dxa"/>
          </w:tcPr>
          <w:p w14:paraId="38788BF2" w14:textId="3626AE09"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20,834</w:t>
            </w:r>
          </w:p>
        </w:tc>
      </w:tr>
      <w:tr w:rsidR="001B1E9A" w:rsidRPr="00494D22" w14:paraId="4ABE55F2"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shd w:val="clear" w:color="auto" w:fill="E2F1EE" w:themeFill="accent2" w:themeFillTint="1A"/>
            <w:noWrap/>
          </w:tcPr>
          <w:p w14:paraId="6316CF48" w14:textId="66F49836" w:rsidR="001B1E9A" w:rsidRPr="00652A5D" w:rsidRDefault="001B1E9A" w:rsidP="00D65CF9">
            <w:pPr>
              <w:pStyle w:val="TableSpacing"/>
            </w:pPr>
            <w:r w:rsidRPr="00652A5D">
              <w:t>Application Type</w:t>
            </w:r>
            <w:r w:rsidR="00CD044F" w:rsidRPr="00652A5D">
              <w:t xml:space="preserve"> – simple cases</w:t>
            </w:r>
          </w:p>
        </w:tc>
        <w:tc>
          <w:tcPr>
            <w:tcW w:w="0" w:type="dxa"/>
            <w:shd w:val="clear" w:color="auto" w:fill="E2F1EE" w:themeFill="accent2" w:themeFillTint="1A"/>
          </w:tcPr>
          <w:p w14:paraId="391BA870" w14:textId="77777777" w:rsidR="001B1E9A" w:rsidRPr="00D65CF9" w:rsidRDefault="001B1E9A"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 xml:space="preserve">Cost Per Assessment </w:t>
            </w:r>
          </w:p>
          <w:p w14:paraId="0AFE7792" w14:textId="4E29EAA5" w:rsidR="001B1E9A" w:rsidRPr="00652A5D" w:rsidRDefault="001B1E9A" w:rsidP="00D65CF9">
            <w:pPr>
              <w:pStyle w:val="TableSpacing"/>
              <w:cnfStyle w:val="000000000000" w:firstRow="0" w:lastRow="0" w:firstColumn="0" w:lastColumn="0" w:oddVBand="0" w:evenVBand="0" w:oddHBand="0" w:evenHBand="0" w:firstRowFirstColumn="0" w:firstRowLastColumn="0" w:lastRowFirstColumn="0" w:lastRowLastColumn="0"/>
            </w:pPr>
            <w:r w:rsidRPr="00D65CF9">
              <w:rPr>
                <w:b/>
              </w:rPr>
              <w:t>($)</w:t>
            </w:r>
          </w:p>
        </w:tc>
      </w:tr>
      <w:tr w:rsidR="001B1E9A" w:rsidRPr="00494D22" w14:paraId="438BD185"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tcPr>
          <w:p w14:paraId="621A8D2F" w14:textId="0DAD665A" w:rsidR="001B1E9A" w:rsidRPr="00D65CF9" w:rsidRDefault="001B1E9A" w:rsidP="00D65CF9">
            <w:pPr>
              <w:pStyle w:val="TableSpacing"/>
              <w:rPr>
                <w:b w:val="0"/>
              </w:rPr>
            </w:pPr>
            <w:r w:rsidRPr="00BF7506">
              <w:t>Licence</w:t>
            </w:r>
          </w:p>
        </w:tc>
        <w:tc>
          <w:tcPr>
            <w:tcW w:w="0" w:type="dxa"/>
          </w:tcPr>
          <w:p w14:paraId="3C2D2969" w14:textId="2EF952D2"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 xml:space="preserve"> 23,123 </w:t>
            </w:r>
          </w:p>
        </w:tc>
      </w:tr>
      <w:tr w:rsidR="001B1E9A" w:rsidRPr="00494D22" w14:paraId="2E7C0695"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tcPr>
          <w:p w14:paraId="55DF8CDA" w14:textId="0162C0DC" w:rsidR="001B1E9A" w:rsidRPr="00D65CF9" w:rsidRDefault="001B1E9A" w:rsidP="00D65CF9">
            <w:pPr>
              <w:pStyle w:val="TableSpacing"/>
              <w:rPr>
                <w:b w:val="0"/>
              </w:rPr>
            </w:pPr>
            <w:r w:rsidRPr="00BF7506">
              <w:t>Exemption</w:t>
            </w:r>
          </w:p>
        </w:tc>
        <w:tc>
          <w:tcPr>
            <w:tcW w:w="0" w:type="dxa"/>
          </w:tcPr>
          <w:p w14:paraId="2983AD6E" w14:textId="3043E86B"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 xml:space="preserve"> 19,939 </w:t>
            </w:r>
          </w:p>
        </w:tc>
      </w:tr>
      <w:tr w:rsidR="001B1E9A" w:rsidRPr="00494D22" w14:paraId="5478CCC4" w14:textId="77777777" w:rsidTr="00D65CF9">
        <w:trPr>
          <w:trHeight w:val="104"/>
        </w:trPr>
        <w:tc>
          <w:tcPr>
            <w:cnfStyle w:val="001000000000" w:firstRow="0" w:lastRow="0" w:firstColumn="1" w:lastColumn="0" w:oddVBand="0" w:evenVBand="0" w:oddHBand="0" w:evenHBand="0" w:firstRowFirstColumn="0" w:firstRowLastColumn="0" w:lastRowFirstColumn="0" w:lastRowLastColumn="0"/>
            <w:tcW w:w="0" w:type="dxa"/>
            <w:noWrap/>
          </w:tcPr>
          <w:p w14:paraId="6A3CF06F" w14:textId="448D72D1" w:rsidR="001B1E9A" w:rsidRPr="00D65CF9" w:rsidRDefault="001B1E9A" w:rsidP="00D65CF9">
            <w:pPr>
              <w:pStyle w:val="TableSpacing"/>
              <w:rPr>
                <w:b w:val="0"/>
              </w:rPr>
            </w:pPr>
            <w:r w:rsidRPr="00BF7506">
              <w:t>Variation</w:t>
            </w:r>
          </w:p>
        </w:tc>
        <w:tc>
          <w:tcPr>
            <w:tcW w:w="0" w:type="dxa"/>
          </w:tcPr>
          <w:p w14:paraId="50C004D0" w14:textId="5DA31B99" w:rsidR="001B1E9A" w:rsidRPr="00652A5D"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652A5D">
              <w:t xml:space="preserve"> 16,343 </w:t>
            </w:r>
          </w:p>
        </w:tc>
      </w:tr>
    </w:tbl>
    <w:p w14:paraId="5B8D462F" w14:textId="4446BC40" w:rsidR="0045057E" w:rsidRDefault="001A6DD6" w:rsidP="00D65CF9">
      <w:pPr>
        <w:spacing w:before="200"/>
        <w:rPr>
          <w:i/>
          <w:color w:val="408479" w:themeColor="accent2" w:themeTint="BF"/>
          <w:szCs w:val="18"/>
        </w:rPr>
      </w:pPr>
      <w:r>
        <w:t>To ensure</w:t>
      </w:r>
      <w:r w:rsidR="00810A7F">
        <w:t xml:space="preserve"> a consistent</w:t>
      </w:r>
      <w:r>
        <w:t xml:space="preserve"> reduction in costs</w:t>
      </w:r>
      <w:r w:rsidR="00A76039">
        <w:t xml:space="preserve"> for </w:t>
      </w:r>
      <w:r w:rsidR="00D772DD">
        <w:t>Option</w:t>
      </w:r>
      <w:r w:rsidR="00A76039">
        <w:t xml:space="preserve"> Two</w:t>
      </w:r>
      <w:r>
        <w:t>, a 21 per cent reduction was applied to exemption</w:t>
      </w:r>
      <w:r w:rsidR="00C70D9A">
        <w:t>s</w:t>
      </w:r>
      <w:r w:rsidR="00810A7F">
        <w:t xml:space="preserve">. This percentage </w:t>
      </w:r>
      <w:r w:rsidR="008B4D1C">
        <w:t xml:space="preserve">was determined by averaging the </w:t>
      </w:r>
      <w:r w:rsidR="00305BC6">
        <w:t xml:space="preserve">percentage </w:t>
      </w:r>
      <w:r w:rsidR="006A1B79">
        <w:t>difference</w:t>
      </w:r>
      <w:r>
        <w:t xml:space="preserve"> in </w:t>
      </w:r>
      <w:r w:rsidR="00305BC6">
        <w:t xml:space="preserve">actual </w:t>
      </w:r>
      <w:r>
        <w:t>hours</w:t>
      </w:r>
      <w:r w:rsidR="00305BC6">
        <w:t xml:space="preserve"> and reduced hours</w:t>
      </w:r>
      <w:r>
        <w:t xml:space="preserve"> for </w:t>
      </w:r>
      <w:r w:rsidR="00195BA9">
        <w:t xml:space="preserve">licence </w:t>
      </w:r>
      <w:r>
        <w:t>and variations</w:t>
      </w:r>
      <w:r w:rsidR="008B4D1C">
        <w:t xml:space="preserve"> applications</w:t>
      </w:r>
      <w:r>
        <w:t xml:space="preserve">. This reduction is outlined </w:t>
      </w:r>
      <w:r w:rsidR="00DD28D8">
        <w:t xml:space="preserve">on </w:t>
      </w:r>
      <w:r w:rsidR="00DD28D8">
        <w:fldChar w:fldCharType="begin"/>
      </w:r>
      <w:r w:rsidR="00DD28D8">
        <w:instrText xml:space="preserve"> REF _Ref116296939 \h </w:instrText>
      </w:r>
      <w:r w:rsidR="00DD28D8">
        <w:fldChar w:fldCharType="separate"/>
      </w:r>
      <w:r w:rsidR="00AF29EE">
        <w:t xml:space="preserve">Table </w:t>
      </w:r>
      <w:r w:rsidR="00AF29EE">
        <w:rPr>
          <w:noProof/>
        </w:rPr>
        <w:t>7</w:t>
      </w:r>
      <w:r w:rsidR="00DD28D8">
        <w:fldChar w:fldCharType="end"/>
      </w:r>
      <w:r w:rsidR="00DD28D8">
        <w:t>.</w:t>
      </w:r>
    </w:p>
    <w:p w14:paraId="2ED533A1" w14:textId="32B4D042" w:rsidR="00652A5D" w:rsidRDefault="00652A5D" w:rsidP="00D65CF9">
      <w:pPr>
        <w:pStyle w:val="Caption"/>
      </w:pPr>
      <w:bookmarkStart w:id="27" w:name="_Ref116296939"/>
      <w:r>
        <w:t xml:space="preserve">Table </w:t>
      </w:r>
      <w:fldSimple w:instr=" SEQ Table \* ARABIC ">
        <w:r w:rsidR="00AF29EE">
          <w:rPr>
            <w:noProof/>
          </w:rPr>
          <w:t>7</w:t>
        </w:r>
      </w:fldSimple>
      <w:bookmarkEnd w:id="27"/>
      <w:r w:rsidR="008F59C8">
        <w:t xml:space="preserve">: </w:t>
      </w:r>
      <w:r w:rsidR="008F59C8">
        <w:rPr>
          <w:rStyle w:val="Advisorytext"/>
          <w:color w:val="408479" w:themeColor="accent2" w:themeTint="BF"/>
        </w:rPr>
        <w:t>Amended cost per assessment, consistent reduction applied to exemptions</w:t>
      </w:r>
    </w:p>
    <w:tbl>
      <w:tblPr>
        <w:tblStyle w:val="GridTable1Light-Accent2"/>
        <w:tblW w:w="8080" w:type="dxa"/>
        <w:tblInd w:w="562" w:type="dxa"/>
        <w:tblLook w:val="04A0" w:firstRow="1" w:lastRow="0" w:firstColumn="1" w:lastColumn="0" w:noHBand="0" w:noVBand="1"/>
      </w:tblPr>
      <w:tblGrid>
        <w:gridCol w:w="3985"/>
        <w:gridCol w:w="4095"/>
      </w:tblGrid>
      <w:tr w:rsidR="001B1E9A" w:rsidRPr="00494D22" w14:paraId="7CAD0447" w14:textId="77777777" w:rsidTr="00D65CF9">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0" w:type="dxa"/>
            <w:noWrap/>
            <w:hideMark/>
          </w:tcPr>
          <w:p w14:paraId="4D26715D" w14:textId="77777777" w:rsidR="001B1E9A" w:rsidRPr="00AE54E5" w:rsidRDefault="001B1E9A" w:rsidP="00D65CF9">
            <w:pPr>
              <w:pStyle w:val="TableSpacing"/>
              <w:rPr>
                <w:b w:val="0"/>
              </w:rPr>
            </w:pPr>
            <w:r w:rsidRPr="00AE54E5">
              <w:t>Application Type</w:t>
            </w:r>
          </w:p>
        </w:tc>
        <w:tc>
          <w:tcPr>
            <w:tcW w:w="0" w:type="dxa"/>
            <w:shd w:val="clear" w:color="auto" w:fill="B8DCD7"/>
            <w:noWrap/>
            <w:hideMark/>
          </w:tcPr>
          <w:p w14:paraId="5BDB4684" w14:textId="77777777" w:rsidR="001B1E9A" w:rsidRDefault="001B1E9A" w:rsidP="00D65CF9">
            <w:pPr>
              <w:pStyle w:val="TableSpacing"/>
              <w:cnfStyle w:val="100000000000" w:firstRow="1" w:lastRow="0" w:firstColumn="0" w:lastColumn="0" w:oddVBand="0" w:evenVBand="0" w:oddHBand="0" w:evenHBand="0" w:firstRowFirstColumn="0" w:firstRowLastColumn="0" w:lastRowFirstColumn="0" w:lastRowLastColumn="0"/>
              <w:rPr>
                <w:b w:val="0"/>
              </w:rPr>
            </w:pPr>
            <w:r w:rsidRPr="00AE54E5">
              <w:t>Cost Per Assessment</w:t>
            </w:r>
            <w:r>
              <w:t xml:space="preserve"> </w:t>
            </w:r>
          </w:p>
          <w:p w14:paraId="3157498A" w14:textId="289449AD" w:rsidR="001B1E9A" w:rsidRPr="00AE54E5" w:rsidRDefault="001B1E9A" w:rsidP="00D65CF9">
            <w:pPr>
              <w:pStyle w:val="TableSpacing"/>
              <w:cnfStyle w:val="100000000000" w:firstRow="1" w:lastRow="0" w:firstColumn="0" w:lastColumn="0" w:oddVBand="0" w:evenVBand="0" w:oddHBand="0" w:evenHBand="0" w:firstRowFirstColumn="0" w:firstRowLastColumn="0" w:lastRowFirstColumn="0" w:lastRowLastColumn="0"/>
              <w:rPr>
                <w:b w:val="0"/>
              </w:rPr>
            </w:pPr>
            <w:r>
              <w:t>($)</w:t>
            </w:r>
          </w:p>
        </w:tc>
      </w:tr>
      <w:tr w:rsidR="001B1E9A" w:rsidRPr="00494D22" w14:paraId="591F51F6" w14:textId="77777777" w:rsidTr="00D65CF9">
        <w:trPr>
          <w:trHeight w:val="182"/>
        </w:trPr>
        <w:tc>
          <w:tcPr>
            <w:cnfStyle w:val="001000000000" w:firstRow="0" w:lastRow="0" w:firstColumn="1" w:lastColumn="0" w:oddVBand="0" w:evenVBand="0" w:oddHBand="0" w:evenHBand="0" w:firstRowFirstColumn="0" w:firstRowLastColumn="0" w:lastRowFirstColumn="0" w:lastRowLastColumn="0"/>
            <w:tcW w:w="0" w:type="dxa"/>
            <w:noWrap/>
            <w:hideMark/>
          </w:tcPr>
          <w:p w14:paraId="148A0D22" w14:textId="73EC4B5F" w:rsidR="001B1E9A" w:rsidRPr="00D65CF9" w:rsidRDefault="001B1E9A" w:rsidP="00D65CF9">
            <w:pPr>
              <w:pStyle w:val="TableSpacing"/>
              <w:rPr>
                <w:b w:val="0"/>
              </w:rPr>
            </w:pPr>
            <w:r w:rsidRPr="00BF7506">
              <w:t>Licence</w:t>
            </w:r>
          </w:p>
        </w:tc>
        <w:tc>
          <w:tcPr>
            <w:tcW w:w="0" w:type="dxa"/>
            <w:noWrap/>
            <w:hideMark/>
          </w:tcPr>
          <w:p w14:paraId="565D6CAF" w14:textId="7519AB1F" w:rsidR="001B1E9A" w:rsidRPr="00AE54E5"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AE54E5">
              <w:t xml:space="preserve"> 23,123 </w:t>
            </w:r>
          </w:p>
        </w:tc>
      </w:tr>
      <w:tr w:rsidR="001B1E9A" w:rsidRPr="00494D22" w14:paraId="6F7464C8" w14:textId="77777777" w:rsidTr="00D65CF9">
        <w:trPr>
          <w:trHeight w:val="182"/>
        </w:trPr>
        <w:tc>
          <w:tcPr>
            <w:cnfStyle w:val="001000000000" w:firstRow="0" w:lastRow="0" w:firstColumn="1" w:lastColumn="0" w:oddVBand="0" w:evenVBand="0" w:oddHBand="0" w:evenHBand="0" w:firstRowFirstColumn="0" w:firstRowLastColumn="0" w:lastRowFirstColumn="0" w:lastRowLastColumn="0"/>
            <w:tcW w:w="0" w:type="dxa"/>
            <w:noWrap/>
            <w:hideMark/>
          </w:tcPr>
          <w:p w14:paraId="219822C9" w14:textId="77777777" w:rsidR="001B1E9A" w:rsidRPr="00D65CF9" w:rsidRDefault="001B1E9A" w:rsidP="00D65CF9">
            <w:pPr>
              <w:pStyle w:val="TableSpacing"/>
              <w:rPr>
                <w:b w:val="0"/>
              </w:rPr>
            </w:pPr>
            <w:r w:rsidRPr="00BF7506">
              <w:t>Exemption</w:t>
            </w:r>
          </w:p>
        </w:tc>
        <w:tc>
          <w:tcPr>
            <w:tcW w:w="0" w:type="dxa"/>
            <w:noWrap/>
            <w:hideMark/>
          </w:tcPr>
          <w:p w14:paraId="66553F90" w14:textId="74C6CDAD" w:rsidR="001B1E9A" w:rsidRPr="00454725"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454725">
              <w:t xml:space="preserve"> 15,508</w:t>
            </w:r>
          </w:p>
        </w:tc>
      </w:tr>
      <w:tr w:rsidR="001B1E9A" w:rsidRPr="00494D22" w14:paraId="13EDAB38" w14:textId="77777777" w:rsidTr="00D65CF9">
        <w:trPr>
          <w:trHeight w:val="182"/>
        </w:trPr>
        <w:tc>
          <w:tcPr>
            <w:cnfStyle w:val="001000000000" w:firstRow="0" w:lastRow="0" w:firstColumn="1" w:lastColumn="0" w:oddVBand="0" w:evenVBand="0" w:oddHBand="0" w:evenHBand="0" w:firstRowFirstColumn="0" w:firstRowLastColumn="0" w:lastRowFirstColumn="0" w:lastRowLastColumn="0"/>
            <w:tcW w:w="0" w:type="dxa"/>
            <w:noWrap/>
            <w:hideMark/>
          </w:tcPr>
          <w:p w14:paraId="5F4B34F4" w14:textId="77777777" w:rsidR="001B1E9A" w:rsidRPr="00D65CF9" w:rsidRDefault="001B1E9A" w:rsidP="00D65CF9">
            <w:pPr>
              <w:pStyle w:val="TableSpacing"/>
              <w:rPr>
                <w:b w:val="0"/>
              </w:rPr>
            </w:pPr>
            <w:r w:rsidRPr="00BF7506">
              <w:t>Variation</w:t>
            </w:r>
          </w:p>
        </w:tc>
        <w:tc>
          <w:tcPr>
            <w:tcW w:w="0" w:type="dxa"/>
            <w:noWrap/>
            <w:hideMark/>
          </w:tcPr>
          <w:p w14:paraId="7A185E7C" w14:textId="09CD6B26" w:rsidR="001B1E9A" w:rsidRPr="00AE54E5" w:rsidRDefault="001B1E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AE54E5">
              <w:t xml:space="preserve"> 16,343 </w:t>
            </w:r>
          </w:p>
        </w:tc>
      </w:tr>
    </w:tbl>
    <w:p w14:paraId="0C993530" w14:textId="03AF6690" w:rsidR="001A6DD6" w:rsidRPr="00D17D44" w:rsidRDefault="001A6DD6" w:rsidP="00D65CF9">
      <w:pPr>
        <w:spacing w:before="200"/>
      </w:pPr>
      <w:r w:rsidRPr="00D17D44">
        <w:t xml:space="preserve">As in </w:t>
      </w:r>
      <w:r w:rsidR="00D772DD" w:rsidRPr="00D17D44">
        <w:t>Option</w:t>
      </w:r>
      <w:r w:rsidRPr="00D17D44">
        <w:t xml:space="preserve"> One, it is assumed the effort required to assess each type of</w:t>
      </w:r>
      <w:r w:rsidR="00442E82" w:rsidRPr="00D17D44">
        <w:t xml:space="preserve"> licence</w:t>
      </w:r>
      <w:r w:rsidRPr="00D17D44">
        <w:t xml:space="preserve"> application will reduce by</w:t>
      </w:r>
      <w:r w:rsidR="00442E82" w:rsidRPr="00D17D44">
        <w:t xml:space="preserve"> 35 per cent and exemption applications by</w:t>
      </w:r>
      <w:r w:rsidRPr="00D17D44">
        <w:t xml:space="preserve"> 30 per cent compared to past levels</w:t>
      </w:r>
      <w:r w:rsidR="00442E82" w:rsidRPr="00D17D44">
        <w:t>,</w:t>
      </w:r>
      <w:r w:rsidRPr="00D17D44">
        <w:t xml:space="preserve"> by 1</w:t>
      </w:r>
      <w:r w:rsidR="00B9228C">
        <w:t> </w:t>
      </w:r>
      <w:r w:rsidRPr="00D17D44">
        <w:t>July</w:t>
      </w:r>
      <w:r w:rsidR="00B9228C">
        <w:t> </w:t>
      </w:r>
      <w:r w:rsidRPr="00D17D44">
        <w:t xml:space="preserve">2023. Taking this efficiency gain into consideration, the proposed </w:t>
      </w:r>
      <w:r w:rsidR="00C75F3D" w:rsidRPr="00D17D44">
        <w:t xml:space="preserve">flat </w:t>
      </w:r>
      <w:r w:rsidRPr="00D17D44">
        <w:t xml:space="preserve">fee </w:t>
      </w:r>
      <w:r w:rsidR="00C75F3D" w:rsidRPr="00D17D44">
        <w:t xml:space="preserve">component </w:t>
      </w:r>
      <w:r w:rsidRPr="00D17D44">
        <w:t xml:space="preserve">for Model Two is outlined </w:t>
      </w:r>
      <w:r w:rsidR="00DD28D8">
        <w:t xml:space="preserve">on </w:t>
      </w:r>
      <w:r w:rsidR="00DD28D8">
        <w:fldChar w:fldCharType="begin"/>
      </w:r>
      <w:r w:rsidR="00DD28D8">
        <w:instrText xml:space="preserve"> REF _Ref116296950 \h </w:instrText>
      </w:r>
      <w:r w:rsidR="00DD28D8">
        <w:fldChar w:fldCharType="separate"/>
      </w:r>
      <w:r w:rsidR="00AF29EE">
        <w:t xml:space="preserve">Table </w:t>
      </w:r>
      <w:r w:rsidR="00AF29EE">
        <w:rPr>
          <w:noProof/>
        </w:rPr>
        <w:t>8</w:t>
      </w:r>
      <w:r w:rsidR="00DD28D8">
        <w:fldChar w:fldCharType="end"/>
      </w:r>
      <w:r w:rsidR="00DD28D8">
        <w:t>.</w:t>
      </w:r>
    </w:p>
    <w:p w14:paraId="19762EEF" w14:textId="54B2FBC2" w:rsidR="00652A5D" w:rsidRDefault="00652A5D" w:rsidP="00D65CF9">
      <w:pPr>
        <w:pStyle w:val="Caption"/>
      </w:pPr>
      <w:bookmarkStart w:id="28" w:name="_Ref116296950"/>
      <w:r>
        <w:t xml:space="preserve">Table </w:t>
      </w:r>
      <w:fldSimple w:instr=" SEQ Table \* ARABIC ">
        <w:r w:rsidR="00AF29EE">
          <w:rPr>
            <w:noProof/>
          </w:rPr>
          <w:t>8</w:t>
        </w:r>
      </w:fldSimple>
      <w:bookmarkEnd w:id="28"/>
      <w:r w:rsidR="008F59C8">
        <w:t xml:space="preserve">: </w:t>
      </w:r>
      <w:r w:rsidR="008F59C8">
        <w:rPr>
          <w:rStyle w:val="Advisorytext"/>
          <w:color w:val="408479" w:themeColor="accent2" w:themeTint="BF"/>
        </w:rPr>
        <w:t>Model Two: Proposed flat fee component</w:t>
      </w:r>
    </w:p>
    <w:tbl>
      <w:tblPr>
        <w:tblStyle w:val="GridTable1Light-Accent2"/>
        <w:tblW w:w="8080" w:type="dxa"/>
        <w:tblInd w:w="562" w:type="dxa"/>
        <w:tblLook w:val="04A0" w:firstRow="1" w:lastRow="0" w:firstColumn="1" w:lastColumn="0" w:noHBand="0" w:noVBand="1"/>
      </w:tblPr>
      <w:tblGrid>
        <w:gridCol w:w="4253"/>
        <w:gridCol w:w="3827"/>
      </w:tblGrid>
      <w:tr w:rsidR="001A6DD6" w:rsidRPr="00FC3CB2" w14:paraId="59D17C15" w14:textId="77777777" w:rsidTr="00D65CF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7381B316" w14:textId="77777777" w:rsidR="001A6DD6" w:rsidRPr="00FC3CB2" w:rsidRDefault="001A6DD6" w:rsidP="00D65CF9">
            <w:pPr>
              <w:pStyle w:val="TableSpacing"/>
              <w:rPr>
                <w:b w:val="0"/>
              </w:rPr>
            </w:pPr>
            <w:r w:rsidRPr="00FC3CB2">
              <w:t>Application Type</w:t>
            </w:r>
          </w:p>
        </w:tc>
        <w:tc>
          <w:tcPr>
            <w:tcW w:w="3827" w:type="dxa"/>
            <w:noWrap/>
            <w:hideMark/>
          </w:tcPr>
          <w:p w14:paraId="0B395F9C" w14:textId="77777777" w:rsidR="001A6DD6" w:rsidRDefault="001A6DD6" w:rsidP="00D65CF9">
            <w:pPr>
              <w:pStyle w:val="TableSpacing"/>
              <w:cnfStyle w:val="100000000000" w:firstRow="1" w:lastRow="0" w:firstColumn="0" w:lastColumn="0" w:oddVBand="0" w:evenVBand="0" w:oddHBand="0" w:evenHBand="0" w:firstRowFirstColumn="0" w:firstRowLastColumn="0" w:lastRowFirstColumn="0" w:lastRowLastColumn="0"/>
              <w:rPr>
                <w:b w:val="0"/>
              </w:rPr>
            </w:pPr>
            <w:r w:rsidRPr="00FC3CB2">
              <w:t>Proposed Fee</w:t>
            </w:r>
          </w:p>
          <w:p w14:paraId="51C05032" w14:textId="11063E67" w:rsidR="00763689" w:rsidRPr="00FC3CB2" w:rsidRDefault="00763689" w:rsidP="00D65CF9">
            <w:pPr>
              <w:pStyle w:val="TableSpacing"/>
              <w:cnfStyle w:val="100000000000" w:firstRow="1" w:lastRow="0" w:firstColumn="0" w:lastColumn="0" w:oddVBand="0" w:evenVBand="0" w:oddHBand="0" w:evenHBand="0" w:firstRowFirstColumn="0" w:firstRowLastColumn="0" w:lastRowFirstColumn="0" w:lastRowLastColumn="0"/>
              <w:rPr>
                <w:b w:val="0"/>
              </w:rPr>
            </w:pPr>
            <w:r>
              <w:t>($)</w:t>
            </w:r>
          </w:p>
        </w:tc>
      </w:tr>
      <w:tr w:rsidR="001A6DD6" w:rsidRPr="003E30C6" w14:paraId="693C01F5" w14:textId="77777777" w:rsidTr="00D65CF9">
        <w:trPr>
          <w:trHeight w:val="21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54921D60" w14:textId="77777777" w:rsidR="001A6DD6" w:rsidRPr="00D65CF9" w:rsidRDefault="001A6DD6" w:rsidP="00D65CF9">
            <w:pPr>
              <w:pStyle w:val="TableSpacing"/>
              <w:rPr>
                <w:b w:val="0"/>
              </w:rPr>
            </w:pPr>
            <w:bookmarkStart w:id="29" w:name="_Hlk110937840"/>
            <w:r w:rsidRPr="00BF7506">
              <w:t>New Licence</w:t>
            </w:r>
          </w:p>
        </w:tc>
        <w:tc>
          <w:tcPr>
            <w:tcW w:w="3827" w:type="dxa"/>
            <w:noWrap/>
            <w:hideMark/>
          </w:tcPr>
          <w:p w14:paraId="047DCD5C" w14:textId="60EA0986" w:rsidR="001A6DD6" w:rsidRPr="00454725" w:rsidRDefault="00442E82" w:rsidP="00D65CF9">
            <w:pPr>
              <w:pStyle w:val="TableSpacing"/>
              <w:jc w:val="right"/>
              <w:cnfStyle w:val="000000000000" w:firstRow="0" w:lastRow="0" w:firstColumn="0" w:lastColumn="0" w:oddVBand="0" w:evenVBand="0" w:oddHBand="0" w:evenHBand="0" w:firstRowFirstColumn="0" w:firstRowLastColumn="0" w:lastRowFirstColumn="0" w:lastRowLastColumn="0"/>
            </w:pPr>
            <w:r>
              <w:t>15,030</w:t>
            </w:r>
          </w:p>
        </w:tc>
      </w:tr>
      <w:tr w:rsidR="001A6DD6" w:rsidRPr="003E30C6" w14:paraId="440529BD" w14:textId="77777777" w:rsidTr="00D65CF9">
        <w:trPr>
          <w:trHeight w:val="210"/>
        </w:trPr>
        <w:tc>
          <w:tcPr>
            <w:cnfStyle w:val="001000000000" w:firstRow="0" w:lastRow="0" w:firstColumn="1" w:lastColumn="0" w:oddVBand="0" w:evenVBand="0" w:oddHBand="0" w:evenHBand="0" w:firstRowFirstColumn="0" w:firstRowLastColumn="0" w:lastRowFirstColumn="0" w:lastRowLastColumn="0"/>
            <w:tcW w:w="4253" w:type="dxa"/>
            <w:noWrap/>
          </w:tcPr>
          <w:p w14:paraId="3E241568" w14:textId="70782AFF" w:rsidR="001A6DD6" w:rsidRPr="00D65CF9" w:rsidRDefault="001A6DD6" w:rsidP="00D65CF9">
            <w:pPr>
              <w:pStyle w:val="TableSpacing"/>
              <w:rPr>
                <w:b w:val="0"/>
              </w:rPr>
            </w:pPr>
            <w:r w:rsidRPr="00BF7506">
              <w:t>Exemption</w:t>
            </w:r>
          </w:p>
        </w:tc>
        <w:tc>
          <w:tcPr>
            <w:tcW w:w="3827" w:type="dxa"/>
            <w:noWrap/>
          </w:tcPr>
          <w:p w14:paraId="095604DC" w14:textId="5C0F1726" w:rsidR="001A6DD6" w:rsidRPr="00454725" w:rsidRDefault="00C70D9A"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454725">
              <w:t>10,860</w:t>
            </w:r>
          </w:p>
        </w:tc>
      </w:tr>
      <w:tr w:rsidR="001A6DD6" w:rsidRPr="003E30C6" w14:paraId="1B03C494" w14:textId="77777777" w:rsidTr="00D65CF9">
        <w:trPr>
          <w:trHeight w:val="210"/>
        </w:trPr>
        <w:tc>
          <w:tcPr>
            <w:cnfStyle w:val="001000000000" w:firstRow="0" w:lastRow="0" w:firstColumn="1" w:lastColumn="0" w:oddVBand="0" w:evenVBand="0" w:oddHBand="0" w:evenHBand="0" w:firstRowFirstColumn="0" w:firstRowLastColumn="0" w:lastRowFirstColumn="0" w:lastRowLastColumn="0"/>
            <w:tcW w:w="4253" w:type="dxa"/>
            <w:noWrap/>
            <w:hideMark/>
          </w:tcPr>
          <w:p w14:paraId="151F0BE2" w14:textId="77777777" w:rsidR="001A6DD6" w:rsidRPr="00D65CF9" w:rsidRDefault="001A6DD6" w:rsidP="00D65CF9">
            <w:pPr>
              <w:pStyle w:val="TableSpacing"/>
              <w:rPr>
                <w:b w:val="0"/>
              </w:rPr>
            </w:pPr>
            <w:r w:rsidRPr="00BF7506">
              <w:t>Variation</w:t>
            </w:r>
          </w:p>
        </w:tc>
        <w:tc>
          <w:tcPr>
            <w:tcW w:w="3827" w:type="dxa"/>
            <w:noWrap/>
            <w:hideMark/>
          </w:tcPr>
          <w:p w14:paraId="631796DF" w14:textId="4D165EB0" w:rsidR="001A6DD6" w:rsidRPr="00454725" w:rsidRDefault="00442E82" w:rsidP="00D65CF9">
            <w:pPr>
              <w:pStyle w:val="TableSpacing"/>
              <w:jc w:val="right"/>
              <w:cnfStyle w:val="000000000000" w:firstRow="0" w:lastRow="0" w:firstColumn="0" w:lastColumn="0" w:oddVBand="0" w:evenVBand="0" w:oddHBand="0" w:evenHBand="0" w:firstRowFirstColumn="0" w:firstRowLastColumn="0" w:lastRowFirstColumn="0" w:lastRowLastColumn="0"/>
            </w:pPr>
            <w:r>
              <w:t>10,620</w:t>
            </w:r>
          </w:p>
        </w:tc>
      </w:tr>
      <w:tr w:rsidR="001A6DD6" w:rsidRPr="003E30C6" w14:paraId="6B038E85" w14:textId="77777777" w:rsidTr="00D65CF9">
        <w:trPr>
          <w:trHeight w:val="210"/>
        </w:trPr>
        <w:tc>
          <w:tcPr>
            <w:cnfStyle w:val="001000000000" w:firstRow="0" w:lastRow="0" w:firstColumn="1" w:lastColumn="0" w:oddVBand="0" w:evenVBand="0" w:oddHBand="0" w:evenHBand="0" w:firstRowFirstColumn="0" w:firstRowLastColumn="0" w:lastRowFirstColumn="0" w:lastRowLastColumn="0"/>
            <w:tcW w:w="4253" w:type="dxa"/>
            <w:noWrap/>
          </w:tcPr>
          <w:p w14:paraId="7A9913E4" w14:textId="77777777" w:rsidR="001A6DD6" w:rsidRPr="00D65CF9" w:rsidRDefault="001A6DD6" w:rsidP="00D65CF9">
            <w:pPr>
              <w:pStyle w:val="TableSpacing"/>
              <w:rPr>
                <w:b w:val="0"/>
              </w:rPr>
            </w:pPr>
            <w:r w:rsidRPr="00BF7506">
              <w:t>Licence Renewal</w:t>
            </w:r>
          </w:p>
        </w:tc>
        <w:tc>
          <w:tcPr>
            <w:tcW w:w="3827" w:type="dxa"/>
            <w:noWrap/>
          </w:tcPr>
          <w:p w14:paraId="5D9CFF86" w14:textId="6E3B6F0F" w:rsidR="001A6DD6" w:rsidRPr="00454725" w:rsidRDefault="00442E82" w:rsidP="00D65CF9">
            <w:pPr>
              <w:pStyle w:val="TableSpacing"/>
              <w:jc w:val="right"/>
              <w:cnfStyle w:val="000000000000" w:firstRow="0" w:lastRow="0" w:firstColumn="0" w:lastColumn="0" w:oddVBand="0" w:evenVBand="0" w:oddHBand="0" w:evenHBand="0" w:firstRowFirstColumn="0" w:firstRowLastColumn="0" w:lastRowFirstColumn="0" w:lastRowLastColumn="0"/>
            </w:pPr>
            <w:r>
              <w:t>10,620</w:t>
            </w:r>
          </w:p>
        </w:tc>
      </w:tr>
    </w:tbl>
    <w:p w14:paraId="6E4B73D2" w14:textId="77777777" w:rsidR="001A6DD6" w:rsidRDefault="001A6DD6" w:rsidP="00D65CF9">
      <w:pPr>
        <w:pStyle w:val="Heading3"/>
        <w:spacing w:before="200"/>
        <w:rPr>
          <w:rFonts w:cstheme="minorHAnsi"/>
        </w:rPr>
      </w:pPr>
      <w:bookmarkStart w:id="30" w:name="_Toc116383706"/>
      <w:bookmarkEnd w:id="29"/>
      <w:r>
        <w:t>Calculation of hourly rate</w:t>
      </w:r>
      <w:bookmarkEnd w:id="30"/>
    </w:p>
    <w:p w14:paraId="5FA732D4" w14:textId="35D6FE8E" w:rsidR="001A6DD6" w:rsidRDefault="001A6DD6" w:rsidP="00D7571B">
      <w:pPr>
        <w:rPr>
          <w:rFonts w:cstheme="minorHAnsi"/>
        </w:rPr>
      </w:pPr>
      <w:r w:rsidRPr="00AE54E5">
        <w:t xml:space="preserve">The hourly costs of assessment </w:t>
      </w:r>
      <w:r w:rsidR="00DD28D8">
        <w:t>we</w:t>
      </w:r>
      <w:r w:rsidRPr="00AE54E5">
        <w:t xml:space="preserve">re calculated </w:t>
      </w:r>
      <w:r w:rsidR="00DD28D8">
        <w:t xml:space="preserve">and are presented on </w:t>
      </w:r>
      <w:r w:rsidR="00DD28D8">
        <w:fldChar w:fldCharType="begin"/>
      </w:r>
      <w:r w:rsidR="00DD28D8">
        <w:instrText xml:space="preserve"> REF _Ref116296966 \h </w:instrText>
      </w:r>
      <w:r w:rsidR="00DD28D8">
        <w:fldChar w:fldCharType="separate"/>
      </w:r>
      <w:r w:rsidR="00AF29EE">
        <w:t xml:space="preserve">Table </w:t>
      </w:r>
      <w:r w:rsidR="00AF29EE">
        <w:rPr>
          <w:noProof/>
        </w:rPr>
        <w:t>9</w:t>
      </w:r>
      <w:r w:rsidR="00DD28D8">
        <w:fldChar w:fldCharType="end"/>
      </w:r>
      <w:r w:rsidRPr="00AE54E5">
        <w:t xml:space="preserve">. This is based on figures provided by the </w:t>
      </w:r>
      <w:r w:rsidR="003721A4">
        <w:rPr>
          <w:rFonts w:cstheme="minorHAnsi"/>
        </w:rPr>
        <w:t xml:space="preserve">department </w:t>
      </w:r>
      <w:r w:rsidRPr="00AE54E5">
        <w:rPr>
          <w:rFonts w:cstheme="minorHAnsi"/>
        </w:rPr>
        <w:t xml:space="preserve">on staffing required for each assessment. </w:t>
      </w:r>
    </w:p>
    <w:p w14:paraId="7600DD72" w14:textId="460C9527" w:rsidR="001A6DD6" w:rsidRDefault="001A6DD6" w:rsidP="00D7571B">
      <w:pPr>
        <w:rPr>
          <w:rFonts w:cstheme="minorHAnsi"/>
        </w:rPr>
      </w:pPr>
      <w:r w:rsidRPr="00AE54E5">
        <w:lastRenderedPageBreak/>
        <w:t>Th</w:t>
      </w:r>
      <w:r w:rsidR="00904BD4">
        <w:rPr>
          <w:rFonts w:cstheme="minorHAnsi"/>
        </w:rPr>
        <w:t>e</w:t>
      </w:r>
      <w:r w:rsidRPr="00AE54E5">
        <w:rPr>
          <w:rFonts w:cstheme="minorHAnsi"/>
        </w:rPr>
        <w:t xml:space="preserve"> model assumes that the split across staffing levels will remain consistent, i.e., that an assessment that takes more time to complete will also require more time for the senior assessor to check</w:t>
      </w:r>
      <w:r>
        <w:rPr>
          <w:rFonts w:cstheme="minorHAnsi"/>
        </w:rPr>
        <w:t>,</w:t>
      </w:r>
      <w:r w:rsidRPr="00AE54E5">
        <w:rPr>
          <w:rFonts w:cstheme="minorHAnsi"/>
        </w:rPr>
        <w:t xml:space="preserve"> and the delegate to consider and decide. </w:t>
      </w:r>
    </w:p>
    <w:p w14:paraId="39EBAAF9" w14:textId="04E87999" w:rsidR="008831C7" w:rsidRDefault="00D17D44" w:rsidP="00D7571B">
      <w:pPr>
        <w:rPr>
          <w:rFonts w:cstheme="minorHAnsi"/>
        </w:rPr>
      </w:pPr>
      <w:r>
        <w:t>T</w:t>
      </w:r>
      <w:r w:rsidR="008831C7">
        <w:t xml:space="preserve">he hourly rate is based on current </w:t>
      </w:r>
      <w:r w:rsidR="004C0794">
        <w:rPr>
          <w:rFonts w:cstheme="minorHAnsi"/>
        </w:rPr>
        <w:t xml:space="preserve">(FY 22-23) </w:t>
      </w:r>
      <w:r w:rsidR="00293D9B">
        <w:rPr>
          <w:rFonts w:cstheme="minorHAnsi"/>
        </w:rPr>
        <w:t xml:space="preserve">contractor </w:t>
      </w:r>
      <w:r w:rsidR="008831C7">
        <w:rPr>
          <w:rFonts w:cstheme="minorHAnsi"/>
        </w:rPr>
        <w:t xml:space="preserve">hourly rates for the </w:t>
      </w:r>
      <w:r w:rsidR="00E94B3C">
        <w:rPr>
          <w:rFonts w:cstheme="minorHAnsi"/>
        </w:rPr>
        <w:t>department</w:t>
      </w:r>
      <w:r w:rsidR="008831C7">
        <w:rPr>
          <w:rFonts w:cstheme="minorHAnsi"/>
        </w:rPr>
        <w:t>.</w:t>
      </w:r>
      <w:r w:rsidR="00293D9B">
        <w:rPr>
          <w:rFonts w:cstheme="minorHAnsi"/>
        </w:rPr>
        <w:t xml:space="preserve"> Contractor costs have been used as the </w:t>
      </w:r>
      <w:r w:rsidR="00641554">
        <w:rPr>
          <w:rFonts w:cstheme="minorHAnsi"/>
        </w:rPr>
        <w:t xml:space="preserve">main </w:t>
      </w:r>
      <w:r w:rsidR="00293D9B">
        <w:rPr>
          <w:rFonts w:cstheme="minorHAnsi"/>
        </w:rPr>
        <w:t>body of staff administering the scheme are hired on a contractual basis</w:t>
      </w:r>
      <w:r w:rsidR="00C01DC8">
        <w:rPr>
          <w:rFonts w:cstheme="minorHAnsi"/>
        </w:rPr>
        <w:t>, but this is also a reasonable proxy for staffing costs including overheads</w:t>
      </w:r>
      <w:r w:rsidR="00293D9B">
        <w:rPr>
          <w:rFonts w:cstheme="minorHAnsi"/>
        </w:rPr>
        <w:t>.</w:t>
      </w:r>
      <w:r w:rsidR="008831C7">
        <w:rPr>
          <w:rFonts w:cstheme="minorHAnsi"/>
        </w:rPr>
        <w:t xml:space="preserve"> </w:t>
      </w:r>
      <w:r w:rsidR="00E26B8A">
        <w:rPr>
          <w:rFonts w:cstheme="minorHAnsi"/>
        </w:rPr>
        <w:t>Rates</w:t>
      </w:r>
      <w:r w:rsidR="008831C7">
        <w:rPr>
          <w:rFonts w:cstheme="minorHAnsi"/>
        </w:rPr>
        <w:t xml:space="preserve"> </w:t>
      </w:r>
      <w:r w:rsidR="00E94B3C">
        <w:rPr>
          <w:rFonts w:cstheme="minorHAnsi"/>
        </w:rPr>
        <w:t xml:space="preserve">have been adjusted for </w:t>
      </w:r>
      <w:r w:rsidR="004C0794">
        <w:rPr>
          <w:rFonts w:cstheme="minorHAnsi"/>
        </w:rPr>
        <w:t xml:space="preserve">the first year of cost recovery (FY 23-24) according to </w:t>
      </w:r>
      <w:r w:rsidR="00E94B3C">
        <w:rPr>
          <w:rFonts w:cstheme="minorHAnsi"/>
        </w:rPr>
        <w:t xml:space="preserve">forecasted wage growth and inflation at a rate of 3.7 percent. </w:t>
      </w:r>
      <w:r w:rsidR="00EE5623">
        <w:rPr>
          <w:rFonts w:cstheme="minorHAnsi"/>
        </w:rPr>
        <w:t>T</w:t>
      </w:r>
      <w:r w:rsidR="00E94B3C">
        <w:rPr>
          <w:rFonts w:cstheme="minorHAnsi"/>
        </w:rPr>
        <w:t xml:space="preserve">his rate </w:t>
      </w:r>
      <w:r w:rsidR="00EE5623">
        <w:rPr>
          <w:rFonts w:cstheme="minorHAnsi"/>
        </w:rPr>
        <w:t>will</w:t>
      </w:r>
      <w:r w:rsidR="00E94B3C">
        <w:rPr>
          <w:rFonts w:cstheme="minorHAnsi"/>
        </w:rPr>
        <w:t xml:space="preserve"> be adjusted in line with inflation and wage growth</w:t>
      </w:r>
      <w:r w:rsidR="00EE5623">
        <w:rPr>
          <w:rFonts w:cstheme="minorHAnsi"/>
        </w:rPr>
        <w:t xml:space="preserve"> annually</w:t>
      </w:r>
      <w:r w:rsidR="00E94B3C">
        <w:rPr>
          <w:rFonts w:cstheme="minorHAnsi"/>
        </w:rPr>
        <w:t xml:space="preserve">. </w:t>
      </w:r>
    </w:p>
    <w:p w14:paraId="50FDF9EE" w14:textId="397CA264" w:rsidR="00652A5D" w:rsidRDefault="00652A5D" w:rsidP="00D65CF9">
      <w:pPr>
        <w:pStyle w:val="Caption"/>
      </w:pPr>
      <w:bookmarkStart w:id="31" w:name="_Ref116296966"/>
      <w:r>
        <w:t xml:space="preserve">Table </w:t>
      </w:r>
      <w:fldSimple w:instr=" SEQ Table \* ARABIC ">
        <w:r w:rsidR="00AF29EE">
          <w:rPr>
            <w:noProof/>
          </w:rPr>
          <w:t>9</w:t>
        </w:r>
      </w:fldSimple>
      <w:bookmarkEnd w:id="31"/>
      <w:r w:rsidR="008F59C8" w:rsidRPr="00267395">
        <w:rPr>
          <w:rStyle w:val="Advisorytext"/>
          <w:color w:val="408479" w:themeColor="accent2" w:themeTint="BF"/>
        </w:rPr>
        <w:t>: Actual hourly cost of assessments</w:t>
      </w:r>
    </w:p>
    <w:tbl>
      <w:tblPr>
        <w:tblW w:w="9209" w:type="dxa"/>
        <w:tblLook w:val="04A0" w:firstRow="1" w:lastRow="0" w:firstColumn="1" w:lastColumn="0" w:noHBand="0" w:noVBand="1"/>
      </w:tblPr>
      <w:tblGrid>
        <w:gridCol w:w="1316"/>
        <w:gridCol w:w="1400"/>
        <w:gridCol w:w="1290"/>
        <w:gridCol w:w="1296"/>
        <w:gridCol w:w="1296"/>
        <w:gridCol w:w="1389"/>
        <w:gridCol w:w="1222"/>
      </w:tblGrid>
      <w:tr w:rsidR="00456C02" w:rsidRPr="00456C02" w14:paraId="454AAF3A" w14:textId="77777777" w:rsidTr="00267395">
        <w:trPr>
          <w:trHeight w:val="193"/>
        </w:trPr>
        <w:tc>
          <w:tcPr>
            <w:tcW w:w="9209" w:type="dxa"/>
            <w:gridSpan w:val="7"/>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vAlign w:val="bottom"/>
            <w:hideMark/>
          </w:tcPr>
          <w:p w14:paraId="3169DCDC" w14:textId="77777777" w:rsidR="00456C02" w:rsidRPr="00D65CF9" w:rsidRDefault="00456C02" w:rsidP="00D65CF9">
            <w:pPr>
              <w:pStyle w:val="TableSpacing"/>
              <w:rPr>
                <w:b/>
              </w:rPr>
            </w:pPr>
            <w:r w:rsidRPr="00D65CF9">
              <w:rPr>
                <w:b/>
              </w:rPr>
              <w:t>Assessment Hours</w:t>
            </w:r>
          </w:p>
        </w:tc>
      </w:tr>
      <w:tr w:rsidR="00456C02" w:rsidRPr="00267395" w14:paraId="318D7F49" w14:textId="77777777" w:rsidTr="00267395">
        <w:trPr>
          <w:trHeight w:val="581"/>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5D310C99" w14:textId="77777777" w:rsidR="00456C02" w:rsidRPr="00D65CF9" w:rsidRDefault="00456C02" w:rsidP="00D65CF9">
            <w:pPr>
              <w:pStyle w:val="TableSpacing"/>
              <w:rPr>
                <w:b/>
              </w:rPr>
            </w:pPr>
            <w:r w:rsidRPr="00D65CF9">
              <w:rPr>
                <w:b/>
              </w:rPr>
              <w:t>APS Level</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3DBD4331" w14:textId="77777777" w:rsidR="00456C02" w:rsidRPr="00D65CF9" w:rsidRDefault="00456C02" w:rsidP="00D65CF9">
            <w:pPr>
              <w:pStyle w:val="TableSpacing"/>
              <w:rPr>
                <w:b/>
              </w:rPr>
            </w:pPr>
            <w:r w:rsidRPr="00D65CF9">
              <w:rPr>
                <w:b/>
              </w:rPr>
              <w:t>Hourly Cost</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20C78113" w14:textId="77777777" w:rsidR="00456C02" w:rsidRPr="00D65CF9" w:rsidRDefault="00456C02" w:rsidP="00D65CF9">
            <w:pPr>
              <w:pStyle w:val="TableSpacing"/>
              <w:rPr>
                <w:b/>
              </w:rPr>
            </w:pPr>
            <w:r w:rsidRPr="00D65CF9">
              <w:rPr>
                <w:b/>
              </w:rPr>
              <w:t>Adjustment for Inflation (3.7%)</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20AF7A50" w14:textId="77777777" w:rsidR="00456C02" w:rsidRPr="00D65CF9" w:rsidRDefault="00456C02" w:rsidP="00D65CF9">
            <w:pPr>
              <w:pStyle w:val="TableSpacing"/>
              <w:rPr>
                <w:b/>
              </w:rPr>
            </w:pPr>
            <w:r w:rsidRPr="00D65CF9">
              <w:rPr>
                <w:b/>
              </w:rPr>
              <w:t>Total Assessment Hours</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06F422B0" w14:textId="77777777" w:rsidR="00456C02" w:rsidRPr="00D65CF9" w:rsidRDefault="00456C02" w:rsidP="00D65CF9">
            <w:pPr>
              <w:pStyle w:val="TableSpacing"/>
              <w:rPr>
                <w:b/>
              </w:rPr>
            </w:pPr>
            <w:r w:rsidRPr="00D65CF9">
              <w:rPr>
                <w:b/>
              </w:rPr>
              <w:t>% of Assessment Hours</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5EE36253" w14:textId="77777777" w:rsidR="00456C02" w:rsidRPr="00D65CF9" w:rsidRDefault="00456C02" w:rsidP="00D65CF9">
            <w:pPr>
              <w:pStyle w:val="TableSpacing"/>
              <w:rPr>
                <w:b/>
              </w:rPr>
            </w:pPr>
            <w:r w:rsidRPr="00D65CF9">
              <w:rPr>
                <w:b/>
              </w:rPr>
              <w:t>Hourly Direct Costs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B8DCD7" w:themeFill="accent2" w:themeFillTint="40"/>
            <w:hideMark/>
          </w:tcPr>
          <w:p w14:paraId="543FE052" w14:textId="77777777" w:rsidR="00456C02" w:rsidRPr="00D65CF9" w:rsidRDefault="00456C02" w:rsidP="00D65CF9">
            <w:pPr>
              <w:pStyle w:val="TableSpacing"/>
              <w:rPr>
                <w:b/>
              </w:rPr>
            </w:pPr>
            <w:r w:rsidRPr="00D65CF9">
              <w:rPr>
                <w:b/>
              </w:rPr>
              <w:t>Hourly Costs including Overheads ($)</w:t>
            </w:r>
          </w:p>
        </w:tc>
      </w:tr>
      <w:tr w:rsidR="00456C02" w:rsidRPr="00267395" w14:paraId="3C075468" w14:textId="77777777" w:rsidTr="00267395">
        <w:trPr>
          <w:trHeight w:val="193"/>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C58D0AA" w14:textId="77777777" w:rsidR="00456C02" w:rsidRPr="00456C02" w:rsidRDefault="00456C02" w:rsidP="00D65CF9">
            <w:pPr>
              <w:pStyle w:val="TableSpacing"/>
            </w:pPr>
            <w:r w:rsidRPr="00456C02">
              <w:t>EXEC 2</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649C5A1" w14:textId="3C357500" w:rsidR="00456C02" w:rsidRPr="00456C02" w:rsidRDefault="00456C02" w:rsidP="00D65CF9">
            <w:pPr>
              <w:pStyle w:val="TableSpacing"/>
              <w:jc w:val="right"/>
            </w:pPr>
            <w:r w:rsidRPr="00456C02">
              <w:t>132.23</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vAlign w:val="bottom"/>
            <w:hideMark/>
          </w:tcPr>
          <w:p w14:paraId="272F69FC" w14:textId="76BF024A" w:rsidR="00456C02" w:rsidRPr="00456C02" w:rsidRDefault="00456C02" w:rsidP="00D65CF9">
            <w:pPr>
              <w:pStyle w:val="TableSpacing"/>
              <w:jc w:val="right"/>
            </w:pPr>
            <w:r w:rsidRPr="00456C02">
              <w:t xml:space="preserve">137.12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6101C0BC" w14:textId="56DB4B8E" w:rsidR="00456C02" w:rsidRPr="00456C02" w:rsidRDefault="00456C02" w:rsidP="00D65CF9">
            <w:pPr>
              <w:pStyle w:val="TableSpacing"/>
              <w:jc w:val="right"/>
            </w:pPr>
            <w:r w:rsidRPr="00456C02">
              <w:t xml:space="preserve">1,306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B4BE47C" w14:textId="77777777" w:rsidR="00456C02" w:rsidRPr="00456C02" w:rsidRDefault="00456C02" w:rsidP="00D65CF9">
            <w:pPr>
              <w:pStyle w:val="TableSpacing"/>
              <w:jc w:val="right"/>
            </w:pPr>
            <w:r w:rsidRPr="00456C02">
              <w:t>13%</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49892A02" w14:textId="56A18A5A" w:rsidR="00456C02" w:rsidRPr="00456C02" w:rsidRDefault="00456C02" w:rsidP="00D65CF9">
            <w:pPr>
              <w:pStyle w:val="TableSpacing"/>
              <w:jc w:val="right"/>
            </w:pPr>
            <w:r w:rsidRPr="00456C02">
              <w:t xml:space="preserve">17.72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E1D7B13" w14:textId="1AFEC107" w:rsidR="00456C02" w:rsidRPr="00456C02" w:rsidRDefault="00456C02" w:rsidP="00D65CF9">
            <w:pPr>
              <w:pStyle w:val="TableSpacing"/>
              <w:jc w:val="right"/>
            </w:pPr>
            <w:r w:rsidRPr="00456C02">
              <w:t xml:space="preserve">23.04 </w:t>
            </w:r>
          </w:p>
        </w:tc>
      </w:tr>
      <w:tr w:rsidR="00456C02" w:rsidRPr="00267395" w14:paraId="718B9BF3" w14:textId="77777777" w:rsidTr="00267395">
        <w:trPr>
          <w:trHeight w:val="193"/>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003DDEB8" w14:textId="77777777" w:rsidR="00456C02" w:rsidRPr="00456C02" w:rsidRDefault="00456C02" w:rsidP="00D65CF9">
            <w:pPr>
              <w:pStyle w:val="TableSpacing"/>
            </w:pPr>
            <w:r w:rsidRPr="00456C02">
              <w:t>EXEC 1</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6095F084" w14:textId="3441242A" w:rsidR="00456C02" w:rsidRPr="00456C02" w:rsidRDefault="00456C02" w:rsidP="00D65CF9">
            <w:pPr>
              <w:pStyle w:val="TableSpacing"/>
              <w:jc w:val="right"/>
            </w:pPr>
            <w:r w:rsidRPr="00267395">
              <w:t>1</w:t>
            </w:r>
            <w:r w:rsidRPr="00456C02">
              <w:t xml:space="preserve">09.11 </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vAlign w:val="bottom"/>
            <w:hideMark/>
          </w:tcPr>
          <w:p w14:paraId="7338D038" w14:textId="06B018B0" w:rsidR="00456C02" w:rsidRPr="00456C02" w:rsidRDefault="00456C02" w:rsidP="00D65CF9">
            <w:pPr>
              <w:pStyle w:val="TableSpacing"/>
              <w:jc w:val="right"/>
            </w:pPr>
            <w:r w:rsidRPr="00456C02">
              <w:t xml:space="preserve">113.15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6598DB85" w14:textId="2B55D190" w:rsidR="00456C02" w:rsidRPr="00456C02" w:rsidRDefault="00456C02" w:rsidP="00D65CF9">
            <w:pPr>
              <w:pStyle w:val="TableSpacing"/>
              <w:jc w:val="right"/>
            </w:pPr>
            <w:r w:rsidRPr="00456C02">
              <w:t xml:space="preserve">6,144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342A5BCD" w14:textId="77777777" w:rsidR="00456C02" w:rsidRPr="00456C02" w:rsidRDefault="00456C02" w:rsidP="00D65CF9">
            <w:pPr>
              <w:pStyle w:val="TableSpacing"/>
              <w:jc w:val="right"/>
            </w:pPr>
            <w:r w:rsidRPr="00456C02">
              <w:t>61%</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5810A32F" w14:textId="7A116A36" w:rsidR="00456C02" w:rsidRPr="00456C02" w:rsidRDefault="00456C02" w:rsidP="00D65CF9">
            <w:pPr>
              <w:pStyle w:val="TableSpacing"/>
              <w:jc w:val="right"/>
            </w:pPr>
            <w:r w:rsidRPr="00456C02">
              <w:t xml:space="preserve">68.78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1512881" w14:textId="0C59B205" w:rsidR="00456C02" w:rsidRPr="00456C02" w:rsidRDefault="00456C02" w:rsidP="00D65CF9">
            <w:pPr>
              <w:pStyle w:val="TableSpacing"/>
              <w:jc w:val="right"/>
            </w:pPr>
            <w:r w:rsidRPr="00456C02">
              <w:t xml:space="preserve">89.41 </w:t>
            </w:r>
          </w:p>
        </w:tc>
      </w:tr>
      <w:tr w:rsidR="00456C02" w:rsidRPr="00267395" w14:paraId="0B2CD5F6" w14:textId="77777777" w:rsidTr="00267395">
        <w:trPr>
          <w:trHeight w:val="193"/>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3EAB73C" w14:textId="77777777" w:rsidR="00456C02" w:rsidRPr="00456C02" w:rsidRDefault="00456C02" w:rsidP="00D65CF9">
            <w:pPr>
              <w:pStyle w:val="TableSpacing"/>
            </w:pPr>
            <w:r w:rsidRPr="00456C02">
              <w:t>APS 6</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E843950" w14:textId="5AABE82E" w:rsidR="00456C02" w:rsidRPr="00456C02" w:rsidRDefault="00456C02" w:rsidP="00D65CF9">
            <w:pPr>
              <w:pStyle w:val="TableSpacing"/>
              <w:jc w:val="right"/>
            </w:pPr>
            <w:r w:rsidRPr="00456C02">
              <w:t xml:space="preserve">89.61 </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vAlign w:val="bottom"/>
            <w:hideMark/>
          </w:tcPr>
          <w:p w14:paraId="2197749A" w14:textId="40264C37" w:rsidR="00456C02" w:rsidRPr="00456C02" w:rsidRDefault="00456C02" w:rsidP="00D65CF9">
            <w:pPr>
              <w:pStyle w:val="TableSpacing"/>
              <w:jc w:val="right"/>
            </w:pPr>
            <w:r w:rsidRPr="00456C02">
              <w:t xml:space="preserve">92.93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4A60F6CF" w14:textId="7557C147" w:rsidR="00456C02" w:rsidRPr="00456C02" w:rsidRDefault="00456C02" w:rsidP="00D65CF9">
            <w:pPr>
              <w:pStyle w:val="TableSpacing"/>
              <w:jc w:val="right"/>
            </w:pPr>
            <w:r w:rsidRPr="00456C02">
              <w:t xml:space="preserve">2,290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04E94C41" w14:textId="77777777" w:rsidR="00456C02" w:rsidRPr="00456C02" w:rsidRDefault="00456C02" w:rsidP="00D65CF9">
            <w:pPr>
              <w:pStyle w:val="TableSpacing"/>
              <w:jc w:val="right"/>
            </w:pPr>
            <w:r w:rsidRPr="00456C02">
              <w:t>23%</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051F000E" w14:textId="2A845C5E" w:rsidR="00456C02" w:rsidRPr="00456C02" w:rsidRDefault="00456C02" w:rsidP="00D65CF9">
            <w:pPr>
              <w:pStyle w:val="TableSpacing"/>
              <w:jc w:val="right"/>
            </w:pPr>
            <w:r w:rsidRPr="00456C02">
              <w:t xml:space="preserve">21.05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151D388" w14:textId="157EF222" w:rsidR="00456C02" w:rsidRPr="00456C02" w:rsidRDefault="00456C02" w:rsidP="00D65CF9">
            <w:pPr>
              <w:pStyle w:val="TableSpacing"/>
              <w:jc w:val="right"/>
            </w:pPr>
            <w:r w:rsidRPr="00456C02">
              <w:t xml:space="preserve">27.37 </w:t>
            </w:r>
          </w:p>
        </w:tc>
      </w:tr>
      <w:tr w:rsidR="00456C02" w:rsidRPr="00267395" w14:paraId="04DA4F68" w14:textId="77777777" w:rsidTr="00267395">
        <w:trPr>
          <w:trHeight w:val="193"/>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5218F1C4" w14:textId="77777777" w:rsidR="00456C02" w:rsidRPr="00456C02" w:rsidRDefault="00456C02" w:rsidP="00D65CF9">
            <w:pPr>
              <w:pStyle w:val="TableSpacing"/>
            </w:pPr>
            <w:r w:rsidRPr="00456C02">
              <w:t>APS 5</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1FFDD46" w14:textId="6370A735" w:rsidR="00456C02" w:rsidRPr="00456C02" w:rsidRDefault="00456C02" w:rsidP="00D65CF9">
            <w:pPr>
              <w:pStyle w:val="TableSpacing"/>
              <w:jc w:val="right"/>
            </w:pPr>
            <w:r w:rsidRPr="00456C02">
              <w:t xml:space="preserve">78.87 </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vAlign w:val="bottom"/>
            <w:hideMark/>
          </w:tcPr>
          <w:p w14:paraId="6FD87D93" w14:textId="255AE15C" w:rsidR="00456C02" w:rsidRPr="00456C02" w:rsidRDefault="00456C02" w:rsidP="00D65CF9">
            <w:pPr>
              <w:pStyle w:val="TableSpacing"/>
              <w:jc w:val="right"/>
            </w:pPr>
            <w:r w:rsidRPr="00456C02">
              <w:t xml:space="preserve">81.79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5F56649D" w14:textId="4C74A958" w:rsidR="00456C02" w:rsidRPr="00456C02" w:rsidRDefault="00456C02" w:rsidP="00D65CF9">
            <w:pPr>
              <w:pStyle w:val="TableSpacing"/>
              <w:jc w:val="right"/>
            </w:pPr>
            <w:r w:rsidRPr="00456C02">
              <w:t xml:space="preserve">367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05ED0C0" w14:textId="77777777" w:rsidR="00456C02" w:rsidRPr="00456C02" w:rsidRDefault="00456C02" w:rsidP="00D65CF9">
            <w:pPr>
              <w:pStyle w:val="TableSpacing"/>
              <w:jc w:val="right"/>
            </w:pPr>
            <w:r w:rsidRPr="00456C02">
              <w:t>4%</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07B16F1" w14:textId="723BDAF6" w:rsidR="00456C02" w:rsidRPr="00456C02" w:rsidRDefault="00456C02" w:rsidP="00D65CF9">
            <w:pPr>
              <w:pStyle w:val="TableSpacing"/>
              <w:jc w:val="right"/>
            </w:pPr>
            <w:r w:rsidRPr="00456C02">
              <w:t xml:space="preserve">2.97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D2BD014" w14:textId="744BA828" w:rsidR="00456C02" w:rsidRPr="00456C02" w:rsidRDefault="00456C02" w:rsidP="00D65CF9">
            <w:pPr>
              <w:pStyle w:val="TableSpacing"/>
              <w:jc w:val="right"/>
            </w:pPr>
            <w:r w:rsidRPr="00456C02">
              <w:t xml:space="preserve">3.87 </w:t>
            </w:r>
          </w:p>
        </w:tc>
      </w:tr>
      <w:tr w:rsidR="00456C02" w:rsidRPr="00267395" w14:paraId="6F00C1BF" w14:textId="77777777" w:rsidTr="00D65CF9">
        <w:trPr>
          <w:trHeight w:val="193"/>
        </w:trPr>
        <w:tc>
          <w:tcPr>
            <w:tcW w:w="131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46250ED7" w14:textId="77777777" w:rsidR="00456C02" w:rsidRPr="00456C02" w:rsidRDefault="00456C02" w:rsidP="00D65CF9">
            <w:pPr>
              <w:pStyle w:val="TableSpacing"/>
            </w:pPr>
            <w:r w:rsidRPr="00456C02">
              <w:t>APS 4</w:t>
            </w:r>
          </w:p>
        </w:tc>
        <w:tc>
          <w:tcPr>
            <w:tcW w:w="140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16B72194" w14:textId="6DEC5052" w:rsidR="00456C02" w:rsidRPr="00456C02" w:rsidRDefault="00456C02" w:rsidP="00D65CF9">
            <w:pPr>
              <w:pStyle w:val="TableSpacing"/>
              <w:jc w:val="right"/>
            </w:pPr>
            <w:r w:rsidRPr="00456C02">
              <w:t xml:space="preserve">72.54 </w:t>
            </w:r>
          </w:p>
        </w:tc>
        <w:tc>
          <w:tcPr>
            <w:tcW w:w="1290"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vAlign w:val="bottom"/>
            <w:hideMark/>
          </w:tcPr>
          <w:p w14:paraId="0A8FEB95" w14:textId="33A1DD9F" w:rsidR="00456C02" w:rsidRPr="00456C02" w:rsidRDefault="00456C02" w:rsidP="00D65CF9">
            <w:pPr>
              <w:pStyle w:val="TableSpacing"/>
              <w:jc w:val="right"/>
            </w:pPr>
            <w:r w:rsidRPr="00456C02">
              <w:t xml:space="preserve">75.22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4E4D6B2D" w14:textId="5C5ED2D7" w:rsidR="00456C02" w:rsidRPr="00456C02" w:rsidRDefault="00456C02" w:rsidP="00D65CF9">
            <w:pPr>
              <w:pStyle w:val="TableSpacing"/>
              <w:jc w:val="right"/>
            </w:pPr>
            <w:r w:rsidRPr="00456C02">
              <w:t xml:space="preserve">-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0B157218" w14:textId="79149DD9" w:rsidR="00456C02" w:rsidRPr="00456C02" w:rsidRDefault="00456C02" w:rsidP="00D65CF9">
            <w:pPr>
              <w:pStyle w:val="TableSpacing"/>
              <w:jc w:val="right"/>
            </w:pPr>
            <w:r w:rsidRPr="00456C02">
              <w:t>0%</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50C6C6E7" w14:textId="4212541A" w:rsidR="00456C02" w:rsidRPr="00456C02" w:rsidRDefault="00456C02" w:rsidP="00D65CF9">
            <w:pPr>
              <w:pStyle w:val="TableSpacing"/>
              <w:jc w:val="right"/>
            </w:pPr>
            <w:r w:rsidRPr="00456C02">
              <w:t xml:space="preserve">-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74C970FE" w14:textId="054CC363" w:rsidR="00456C02" w:rsidRPr="00456C02" w:rsidRDefault="00456C02" w:rsidP="00D65CF9">
            <w:pPr>
              <w:pStyle w:val="TableSpacing"/>
              <w:jc w:val="right"/>
            </w:pPr>
            <w:r w:rsidRPr="00456C02">
              <w:t xml:space="preserve">    -   </w:t>
            </w:r>
          </w:p>
        </w:tc>
      </w:tr>
      <w:tr w:rsidR="00456C02" w:rsidRPr="00456C02" w14:paraId="3BD65C03" w14:textId="77777777" w:rsidTr="00D65CF9">
        <w:trPr>
          <w:trHeight w:val="77"/>
        </w:trPr>
        <w:tc>
          <w:tcPr>
            <w:tcW w:w="1316" w:type="dxa"/>
            <w:tcBorders>
              <w:top w:val="single" w:sz="4" w:space="0" w:color="71BAAF" w:themeColor="accent2" w:themeTint="80"/>
              <w:left w:val="single" w:sz="4" w:space="0" w:color="71BAAF" w:themeColor="accent2" w:themeTint="80"/>
              <w:bottom w:val="single" w:sz="4" w:space="0" w:color="71BAAF" w:themeColor="accent2" w:themeTint="80"/>
            </w:tcBorders>
            <w:shd w:val="clear" w:color="auto" w:fill="auto"/>
            <w:noWrap/>
            <w:vAlign w:val="bottom"/>
            <w:hideMark/>
          </w:tcPr>
          <w:p w14:paraId="0B15B7CC" w14:textId="77777777" w:rsidR="00456C02" w:rsidRPr="00456C02" w:rsidRDefault="00456C02" w:rsidP="00D65CF9">
            <w:pPr>
              <w:pStyle w:val="TableSpacing"/>
            </w:pPr>
            <w:r w:rsidRPr="00456C02">
              <w:t> </w:t>
            </w:r>
          </w:p>
        </w:tc>
        <w:tc>
          <w:tcPr>
            <w:tcW w:w="2690" w:type="dxa"/>
            <w:gridSpan w:val="2"/>
            <w:tcBorders>
              <w:top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5B38C6E1" w14:textId="77777777" w:rsidR="00456C02" w:rsidRPr="00D65CF9" w:rsidRDefault="00456C02" w:rsidP="00D65CF9">
            <w:pPr>
              <w:pStyle w:val="TableSpacing"/>
              <w:jc w:val="right"/>
              <w:rPr>
                <w:b/>
              </w:rPr>
            </w:pPr>
            <w:r w:rsidRPr="00D65CF9">
              <w:rPr>
                <w:b/>
              </w:rPr>
              <w:t>Total</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C32814D" w14:textId="65A10642" w:rsidR="00456C02" w:rsidRPr="00D65CF9" w:rsidRDefault="00456C02" w:rsidP="00D65CF9">
            <w:pPr>
              <w:pStyle w:val="TableSpacing"/>
              <w:jc w:val="right"/>
              <w:rPr>
                <w:b/>
              </w:rPr>
            </w:pPr>
            <w:r w:rsidRPr="00D65CF9">
              <w:rPr>
                <w:b/>
              </w:rPr>
              <w:t xml:space="preserve">10,107 </w:t>
            </w:r>
          </w:p>
        </w:tc>
        <w:tc>
          <w:tcPr>
            <w:tcW w:w="1296"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28973F77" w14:textId="1E48FF6D" w:rsidR="00456C02" w:rsidRPr="00D65CF9" w:rsidRDefault="00456C02" w:rsidP="00D65CF9">
            <w:pPr>
              <w:pStyle w:val="TableSpacing"/>
              <w:jc w:val="right"/>
              <w:rPr>
                <w:b/>
              </w:rPr>
            </w:pPr>
            <w:r w:rsidRPr="00D65CF9">
              <w:rPr>
                <w:b/>
                <w:bCs/>
              </w:rPr>
              <w:t>1</w:t>
            </w:r>
            <w:r w:rsidR="008F59C8">
              <w:rPr>
                <w:b/>
                <w:bCs/>
              </w:rPr>
              <w:t>00%</w:t>
            </w:r>
            <w:r w:rsidRPr="00D65CF9">
              <w:rPr>
                <w:b/>
                <w:bCs/>
              </w:rPr>
              <w:t xml:space="preserve"> </w:t>
            </w:r>
          </w:p>
        </w:tc>
        <w:tc>
          <w:tcPr>
            <w:tcW w:w="1389"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4D6A7F90" w14:textId="6EF113C2" w:rsidR="00456C02" w:rsidRPr="00D65CF9" w:rsidRDefault="00456C02" w:rsidP="00D65CF9">
            <w:pPr>
              <w:pStyle w:val="TableSpacing"/>
              <w:jc w:val="right"/>
              <w:rPr>
                <w:b/>
              </w:rPr>
            </w:pPr>
            <w:r w:rsidRPr="00D65CF9">
              <w:rPr>
                <w:b/>
              </w:rPr>
              <w:t xml:space="preserve">110.52 </w:t>
            </w:r>
          </w:p>
        </w:tc>
        <w:tc>
          <w:tcPr>
            <w:tcW w:w="1222" w:type="dxa"/>
            <w:tcBorders>
              <w:top w:val="single" w:sz="4" w:space="0" w:color="71BAAF" w:themeColor="accent2" w:themeTint="80"/>
              <w:left w:val="single" w:sz="4" w:space="0" w:color="71BAAF" w:themeColor="accent2" w:themeTint="80"/>
              <w:bottom w:val="single" w:sz="4" w:space="0" w:color="71BAAF" w:themeColor="accent2" w:themeTint="80"/>
              <w:right w:val="single" w:sz="4" w:space="0" w:color="71BAAF" w:themeColor="accent2" w:themeTint="80"/>
            </w:tcBorders>
            <w:shd w:val="clear" w:color="auto" w:fill="auto"/>
            <w:noWrap/>
            <w:vAlign w:val="bottom"/>
            <w:hideMark/>
          </w:tcPr>
          <w:p w14:paraId="09AC8E28" w14:textId="759E6E2C" w:rsidR="00456C02" w:rsidRPr="00D65CF9" w:rsidRDefault="00456C02" w:rsidP="00D65CF9">
            <w:pPr>
              <w:pStyle w:val="TableSpacing"/>
              <w:jc w:val="right"/>
              <w:rPr>
                <w:b/>
              </w:rPr>
            </w:pPr>
            <w:r w:rsidRPr="00D65CF9">
              <w:rPr>
                <w:b/>
              </w:rPr>
              <w:t xml:space="preserve">143.68 </w:t>
            </w:r>
          </w:p>
        </w:tc>
      </w:tr>
    </w:tbl>
    <w:p w14:paraId="2DAD88B6" w14:textId="557E17D7" w:rsidR="00EF1A8D" w:rsidRDefault="00EF1A8D" w:rsidP="00D65CF9">
      <w:pPr>
        <w:pStyle w:val="Heading3"/>
        <w:spacing w:before="200"/>
      </w:pPr>
      <w:bookmarkStart w:id="32" w:name="_Toc116383707"/>
      <w:r>
        <w:t>Proposed Fee Schedule</w:t>
      </w:r>
      <w:bookmarkEnd w:id="32"/>
      <w:r>
        <w:t xml:space="preserve"> </w:t>
      </w:r>
    </w:p>
    <w:p w14:paraId="4495C392" w14:textId="0FD6EBBE" w:rsidR="00641554" w:rsidRDefault="00EF1A8D">
      <w:pPr>
        <w:spacing w:after="160"/>
        <w:rPr>
          <w:i/>
          <w:iCs/>
          <w:color w:val="408479" w:themeColor="accent2" w:themeTint="BF"/>
          <w:szCs w:val="18"/>
        </w:rPr>
      </w:pPr>
      <w:r w:rsidRPr="00EF1A8D">
        <w:t xml:space="preserve">Accordingly, under </w:t>
      </w:r>
      <w:r w:rsidR="00D772DD">
        <w:t>Option</w:t>
      </w:r>
      <w:r w:rsidRPr="00EF1A8D">
        <w:t xml:space="preserve"> Two, exporters will have a reduced flat fee for applications that take less than the capped hours to complete. Any applications that exceed the capped hours, </w:t>
      </w:r>
      <w:r w:rsidR="00D91DF5">
        <w:t>i</w:t>
      </w:r>
      <w:r w:rsidR="00DD28D8">
        <w:t>n</w:t>
      </w:r>
      <w:r w:rsidR="00E27CC0">
        <w:t xml:space="preserve"> </w:t>
      </w:r>
      <w:r w:rsidR="00DD28D8">
        <w:fldChar w:fldCharType="begin"/>
      </w:r>
      <w:r w:rsidR="00DD28D8">
        <w:instrText xml:space="preserve"> REF _Ref116297012 \h </w:instrText>
      </w:r>
      <w:r w:rsidR="00DD28D8">
        <w:fldChar w:fldCharType="separate"/>
      </w:r>
      <w:r w:rsidR="00AF29EE">
        <w:t xml:space="preserve">Table </w:t>
      </w:r>
      <w:r w:rsidR="00AF29EE">
        <w:rPr>
          <w:noProof/>
        </w:rPr>
        <w:t>10</w:t>
      </w:r>
      <w:r w:rsidR="00DD28D8">
        <w:fldChar w:fldCharType="end"/>
      </w:r>
      <w:r w:rsidRPr="00EF1A8D">
        <w:t>, will be charged an hourly rate for each additional hour of assessment</w:t>
      </w:r>
      <w:r w:rsidR="00D3255D">
        <w:t xml:space="preserve">. </w:t>
      </w:r>
      <w:r>
        <w:t xml:space="preserve">A summary of the Proposed Fee Schedule is outlined </w:t>
      </w:r>
      <w:r w:rsidR="006A2D7F">
        <w:t>i</w:t>
      </w:r>
      <w:r w:rsidR="00DD28D8">
        <w:t xml:space="preserve">n </w:t>
      </w:r>
      <w:r w:rsidR="00DD28D8">
        <w:fldChar w:fldCharType="begin"/>
      </w:r>
      <w:r w:rsidR="00DD28D8">
        <w:instrText xml:space="preserve"> REF _Ref116297012 \h </w:instrText>
      </w:r>
      <w:r w:rsidR="00DD28D8">
        <w:fldChar w:fldCharType="separate"/>
      </w:r>
      <w:r w:rsidR="00AF29EE">
        <w:t xml:space="preserve">Table </w:t>
      </w:r>
      <w:r w:rsidR="00AF29EE">
        <w:rPr>
          <w:noProof/>
        </w:rPr>
        <w:t>10</w:t>
      </w:r>
      <w:r w:rsidR="00DD28D8">
        <w:fldChar w:fldCharType="end"/>
      </w:r>
      <w:r>
        <w:t xml:space="preserve">, </w:t>
      </w:r>
      <w:r w:rsidR="00641554">
        <w:t>on the following page</w:t>
      </w:r>
      <w:r>
        <w:t xml:space="preserve">. </w:t>
      </w:r>
      <w:bookmarkStart w:id="33" w:name="_Ref116297012"/>
      <w:r w:rsidR="00641554">
        <w:br w:type="page"/>
      </w:r>
    </w:p>
    <w:p w14:paraId="4C941DB1" w14:textId="14063CE6" w:rsidR="00652A5D" w:rsidRDefault="00652A5D" w:rsidP="00D65CF9">
      <w:pPr>
        <w:pStyle w:val="Caption"/>
      </w:pPr>
      <w:r>
        <w:lastRenderedPageBreak/>
        <w:t xml:space="preserve">Table </w:t>
      </w:r>
      <w:fldSimple w:instr=" SEQ Table \* ARABIC ">
        <w:r w:rsidR="00AF29EE">
          <w:rPr>
            <w:noProof/>
          </w:rPr>
          <w:t>10</w:t>
        </w:r>
      </w:fldSimple>
      <w:bookmarkEnd w:id="33"/>
      <w:r w:rsidR="008F59C8">
        <w:t xml:space="preserve">: </w:t>
      </w:r>
      <w:r w:rsidR="008F59C8" w:rsidRPr="00C04134">
        <w:t>Proposed Fee Schedule</w:t>
      </w:r>
    </w:p>
    <w:tbl>
      <w:tblPr>
        <w:tblStyle w:val="GridTable1Light-Accent2"/>
        <w:tblW w:w="8080" w:type="dxa"/>
        <w:tblInd w:w="561" w:type="dxa"/>
        <w:tblLook w:val="04A0" w:firstRow="1" w:lastRow="0" w:firstColumn="1" w:lastColumn="0" w:noHBand="0" w:noVBand="1"/>
      </w:tblPr>
      <w:tblGrid>
        <w:gridCol w:w="3047"/>
        <w:gridCol w:w="2617"/>
        <w:gridCol w:w="2416"/>
      </w:tblGrid>
      <w:tr w:rsidR="001842A6" w:rsidRPr="00494D22" w14:paraId="2B250732" w14:textId="67382023" w:rsidTr="00D65CF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dxa"/>
            <w:noWrap/>
            <w:hideMark/>
          </w:tcPr>
          <w:p w14:paraId="6C85ADAB" w14:textId="77777777" w:rsidR="001842A6" w:rsidRPr="00C4276B" w:rsidRDefault="001842A6" w:rsidP="00D65CF9">
            <w:pPr>
              <w:pStyle w:val="TableSpacing"/>
            </w:pPr>
            <w:r w:rsidRPr="00C4276B">
              <w:t>Application Type</w:t>
            </w:r>
          </w:p>
        </w:tc>
        <w:tc>
          <w:tcPr>
            <w:tcW w:w="0" w:type="dxa"/>
            <w:noWrap/>
            <w:hideMark/>
          </w:tcPr>
          <w:p w14:paraId="2E967D9F" w14:textId="77777777" w:rsidR="001842A6" w:rsidRPr="00C4276B" w:rsidRDefault="001842A6" w:rsidP="00D65CF9">
            <w:pPr>
              <w:pStyle w:val="TableSpacing"/>
              <w:cnfStyle w:val="100000000000" w:firstRow="1" w:lastRow="0" w:firstColumn="0" w:lastColumn="0" w:oddVBand="0" w:evenVBand="0" w:oddHBand="0" w:evenHBand="0" w:firstRowFirstColumn="0" w:firstRowLastColumn="0" w:lastRowFirstColumn="0" w:lastRowLastColumn="0"/>
            </w:pPr>
            <w:r w:rsidRPr="00C4276B">
              <w:t>Proposed Fee</w:t>
            </w:r>
          </w:p>
          <w:p w14:paraId="5F646FE1" w14:textId="5728B22C" w:rsidR="001842A6" w:rsidRPr="00C4276B" w:rsidRDefault="001842A6" w:rsidP="00D65CF9">
            <w:pPr>
              <w:pStyle w:val="TableSpacing"/>
              <w:cnfStyle w:val="100000000000" w:firstRow="1" w:lastRow="0" w:firstColumn="0" w:lastColumn="0" w:oddVBand="0" w:evenVBand="0" w:oddHBand="0" w:evenHBand="0" w:firstRowFirstColumn="0" w:firstRowLastColumn="0" w:lastRowFirstColumn="0" w:lastRowLastColumn="0"/>
            </w:pPr>
            <w:r w:rsidRPr="00C4276B">
              <w:t>($)</w:t>
            </w:r>
          </w:p>
        </w:tc>
        <w:tc>
          <w:tcPr>
            <w:tcW w:w="0" w:type="dxa"/>
          </w:tcPr>
          <w:p w14:paraId="6F35C238" w14:textId="49B26C07" w:rsidR="001842A6" w:rsidRPr="00C4276B" w:rsidRDefault="001842A6" w:rsidP="00D65CF9">
            <w:pPr>
              <w:pStyle w:val="TableSpacing"/>
              <w:cnfStyle w:val="100000000000" w:firstRow="1" w:lastRow="0" w:firstColumn="0" w:lastColumn="0" w:oddVBand="0" w:evenVBand="0" w:oddHBand="0" w:evenHBand="0" w:firstRowFirstColumn="0" w:firstRowLastColumn="0" w:lastRowFirstColumn="0" w:lastRowLastColumn="0"/>
            </w:pPr>
            <w:r w:rsidRPr="00C4276B">
              <w:t>Hours included in Fee</w:t>
            </w:r>
          </w:p>
        </w:tc>
      </w:tr>
      <w:tr w:rsidR="001842A6" w:rsidRPr="00494D22" w14:paraId="4A2E102B" w14:textId="5699EAF1" w:rsidTr="00D65CF9">
        <w:trPr>
          <w:trHeight w:val="210"/>
        </w:trPr>
        <w:tc>
          <w:tcPr>
            <w:cnfStyle w:val="001000000000" w:firstRow="0" w:lastRow="0" w:firstColumn="1" w:lastColumn="0" w:oddVBand="0" w:evenVBand="0" w:oddHBand="0" w:evenHBand="0" w:firstRowFirstColumn="0" w:firstRowLastColumn="0" w:lastRowFirstColumn="0" w:lastRowLastColumn="0"/>
            <w:tcW w:w="0" w:type="dxa"/>
            <w:noWrap/>
            <w:hideMark/>
          </w:tcPr>
          <w:p w14:paraId="4691D7B0" w14:textId="77777777" w:rsidR="001842A6" w:rsidRPr="00C4276B" w:rsidRDefault="001842A6" w:rsidP="00D65CF9">
            <w:pPr>
              <w:pStyle w:val="TableSpacing"/>
            </w:pPr>
            <w:r w:rsidRPr="00C4276B">
              <w:t>New Licence</w:t>
            </w:r>
          </w:p>
        </w:tc>
        <w:tc>
          <w:tcPr>
            <w:tcW w:w="0" w:type="dxa"/>
            <w:noWrap/>
            <w:hideMark/>
          </w:tcPr>
          <w:p w14:paraId="640C6290" w14:textId="6E98A1EA" w:rsidR="001842A6" w:rsidRPr="00C4276B" w:rsidRDefault="001842A6" w:rsidP="00D65CF9">
            <w:pPr>
              <w:pStyle w:val="TableSpacing"/>
              <w:cnfStyle w:val="000000000000" w:firstRow="0" w:lastRow="0" w:firstColumn="0" w:lastColumn="0" w:oddVBand="0" w:evenVBand="0" w:oddHBand="0" w:evenHBand="0" w:firstRowFirstColumn="0" w:firstRowLastColumn="0" w:lastRowFirstColumn="0" w:lastRowLastColumn="0"/>
            </w:pPr>
            <w:r w:rsidRPr="00C4276B">
              <w:t>15,030</w:t>
            </w:r>
          </w:p>
        </w:tc>
        <w:tc>
          <w:tcPr>
            <w:tcW w:w="0" w:type="dxa"/>
          </w:tcPr>
          <w:p w14:paraId="69D703A7" w14:textId="4EE6FE51" w:rsidR="001842A6" w:rsidRPr="00C4276B" w:rsidDel="00442E82" w:rsidRDefault="00823637" w:rsidP="00D65CF9">
            <w:pPr>
              <w:pStyle w:val="TableSpacing"/>
              <w:cnfStyle w:val="000000000000" w:firstRow="0" w:lastRow="0" w:firstColumn="0" w:lastColumn="0" w:oddVBand="0" w:evenVBand="0" w:oddHBand="0" w:evenHBand="0" w:firstRowFirstColumn="0" w:firstRowLastColumn="0" w:lastRowFirstColumn="0" w:lastRowLastColumn="0"/>
            </w:pPr>
            <w:r w:rsidRPr="00C4276B">
              <w:t>112.5</w:t>
            </w:r>
          </w:p>
        </w:tc>
      </w:tr>
      <w:tr w:rsidR="001842A6" w:rsidRPr="00494D22" w14:paraId="2C7C620F" w14:textId="5B79267B" w:rsidTr="00D65CF9">
        <w:trPr>
          <w:trHeight w:val="210"/>
        </w:trPr>
        <w:tc>
          <w:tcPr>
            <w:cnfStyle w:val="001000000000" w:firstRow="0" w:lastRow="0" w:firstColumn="1" w:lastColumn="0" w:oddVBand="0" w:evenVBand="0" w:oddHBand="0" w:evenHBand="0" w:firstRowFirstColumn="0" w:firstRowLastColumn="0" w:lastRowFirstColumn="0" w:lastRowLastColumn="0"/>
            <w:tcW w:w="0" w:type="dxa"/>
            <w:noWrap/>
          </w:tcPr>
          <w:p w14:paraId="642F2400" w14:textId="573A1E92" w:rsidR="001842A6" w:rsidRPr="00C4276B" w:rsidRDefault="001842A6" w:rsidP="00D65CF9">
            <w:pPr>
              <w:pStyle w:val="TableSpacing"/>
            </w:pPr>
            <w:r w:rsidRPr="00C4276B">
              <w:t>Exemption</w:t>
            </w:r>
          </w:p>
        </w:tc>
        <w:tc>
          <w:tcPr>
            <w:tcW w:w="0" w:type="dxa"/>
            <w:noWrap/>
          </w:tcPr>
          <w:p w14:paraId="7F8500CB" w14:textId="20CCCC5F" w:rsidR="001842A6" w:rsidRPr="00C4276B" w:rsidRDefault="001842A6" w:rsidP="00D65CF9">
            <w:pPr>
              <w:pStyle w:val="TableSpacing"/>
              <w:cnfStyle w:val="000000000000" w:firstRow="0" w:lastRow="0" w:firstColumn="0" w:lastColumn="0" w:oddVBand="0" w:evenVBand="0" w:oddHBand="0" w:evenHBand="0" w:firstRowFirstColumn="0" w:firstRowLastColumn="0" w:lastRowFirstColumn="0" w:lastRowLastColumn="0"/>
            </w:pPr>
            <w:r w:rsidRPr="00C4276B">
              <w:t>10,860</w:t>
            </w:r>
          </w:p>
        </w:tc>
        <w:tc>
          <w:tcPr>
            <w:tcW w:w="0" w:type="dxa"/>
          </w:tcPr>
          <w:p w14:paraId="51C626A2" w14:textId="58BAF962" w:rsidR="001842A6" w:rsidRPr="00C4276B" w:rsidRDefault="00823637" w:rsidP="00D65CF9">
            <w:pPr>
              <w:pStyle w:val="TableSpacing"/>
              <w:cnfStyle w:val="000000000000" w:firstRow="0" w:lastRow="0" w:firstColumn="0" w:lastColumn="0" w:oddVBand="0" w:evenVBand="0" w:oddHBand="0" w:evenHBand="0" w:firstRowFirstColumn="0" w:firstRowLastColumn="0" w:lastRowFirstColumn="0" w:lastRowLastColumn="0"/>
            </w:pPr>
            <w:r w:rsidRPr="00C4276B">
              <w:t>75</w:t>
            </w:r>
          </w:p>
        </w:tc>
      </w:tr>
      <w:tr w:rsidR="001842A6" w:rsidRPr="00494D22" w14:paraId="01273E7A" w14:textId="4E2DB7D0" w:rsidTr="00D65CF9">
        <w:trPr>
          <w:trHeight w:val="210"/>
        </w:trPr>
        <w:tc>
          <w:tcPr>
            <w:cnfStyle w:val="001000000000" w:firstRow="0" w:lastRow="0" w:firstColumn="1" w:lastColumn="0" w:oddVBand="0" w:evenVBand="0" w:oddHBand="0" w:evenHBand="0" w:firstRowFirstColumn="0" w:firstRowLastColumn="0" w:lastRowFirstColumn="0" w:lastRowLastColumn="0"/>
            <w:tcW w:w="0" w:type="dxa"/>
            <w:noWrap/>
            <w:hideMark/>
          </w:tcPr>
          <w:p w14:paraId="3ACAAC19" w14:textId="77777777" w:rsidR="001842A6" w:rsidRPr="00C4276B" w:rsidRDefault="001842A6" w:rsidP="00D65CF9">
            <w:pPr>
              <w:pStyle w:val="TableSpacing"/>
            </w:pPr>
            <w:r w:rsidRPr="00C4276B">
              <w:t>Variation</w:t>
            </w:r>
          </w:p>
        </w:tc>
        <w:tc>
          <w:tcPr>
            <w:tcW w:w="0" w:type="dxa"/>
            <w:noWrap/>
            <w:hideMark/>
          </w:tcPr>
          <w:p w14:paraId="0C38FBF9" w14:textId="41D89E89" w:rsidR="001842A6" w:rsidRPr="00C4276B" w:rsidRDefault="001842A6" w:rsidP="00D65CF9">
            <w:pPr>
              <w:pStyle w:val="TableSpacing"/>
              <w:cnfStyle w:val="000000000000" w:firstRow="0" w:lastRow="0" w:firstColumn="0" w:lastColumn="0" w:oddVBand="0" w:evenVBand="0" w:oddHBand="0" w:evenHBand="0" w:firstRowFirstColumn="0" w:firstRowLastColumn="0" w:lastRowFirstColumn="0" w:lastRowLastColumn="0"/>
            </w:pPr>
            <w:r w:rsidRPr="00C4276B">
              <w:t>10,620</w:t>
            </w:r>
          </w:p>
        </w:tc>
        <w:tc>
          <w:tcPr>
            <w:tcW w:w="0" w:type="dxa"/>
          </w:tcPr>
          <w:p w14:paraId="4AF17C6E" w14:textId="275BC85C" w:rsidR="001842A6" w:rsidRPr="00C4276B" w:rsidDel="00C75F3D" w:rsidRDefault="00823637" w:rsidP="00D65CF9">
            <w:pPr>
              <w:pStyle w:val="TableSpacing"/>
              <w:cnfStyle w:val="000000000000" w:firstRow="0" w:lastRow="0" w:firstColumn="0" w:lastColumn="0" w:oddVBand="0" w:evenVBand="0" w:oddHBand="0" w:evenHBand="0" w:firstRowFirstColumn="0" w:firstRowLastColumn="0" w:lastRowFirstColumn="0" w:lastRowLastColumn="0"/>
            </w:pPr>
            <w:r w:rsidRPr="00C4276B">
              <w:t>75</w:t>
            </w:r>
          </w:p>
        </w:tc>
      </w:tr>
      <w:tr w:rsidR="001842A6" w:rsidRPr="00494D22" w14:paraId="26A13CF6" w14:textId="734D9ADD" w:rsidTr="00D65CF9">
        <w:trPr>
          <w:trHeight w:val="210"/>
        </w:trPr>
        <w:tc>
          <w:tcPr>
            <w:cnfStyle w:val="001000000000" w:firstRow="0" w:lastRow="0" w:firstColumn="1" w:lastColumn="0" w:oddVBand="0" w:evenVBand="0" w:oddHBand="0" w:evenHBand="0" w:firstRowFirstColumn="0" w:firstRowLastColumn="0" w:lastRowFirstColumn="0" w:lastRowLastColumn="0"/>
            <w:tcW w:w="0" w:type="dxa"/>
            <w:noWrap/>
          </w:tcPr>
          <w:p w14:paraId="59947894" w14:textId="69A965C6" w:rsidR="001842A6" w:rsidRPr="00C4276B" w:rsidRDefault="001842A6" w:rsidP="00D65CF9">
            <w:pPr>
              <w:pStyle w:val="TableSpacing"/>
            </w:pPr>
            <w:r w:rsidRPr="00C4276B">
              <w:t xml:space="preserve">Licence </w:t>
            </w:r>
            <w:r w:rsidR="008F59C8" w:rsidRPr="00C4276B">
              <w:t>renewal</w:t>
            </w:r>
          </w:p>
        </w:tc>
        <w:tc>
          <w:tcPr>
            <w:tcW w:w="0" w:type="dxa"/>
            <w:noWrap/>
          </w:tcPr>
          <w:p w14:paraId="2FE2B0B1" w14:textId="2E46B853" w:rsidR="001842A6" w:rsidRPr="00C4276B" w:rsidRDefault="001842A6" w:rsidP="00D65CF9">
            <w:pPr>
              <w:pStyle w:val="TableSpacing"/>
              <w:cnfStyle w:val="000000000000" w:firstRow="0" w:lastRow="0" w:firstColumn="0" w:lastColumn="0" w:oddVBand="0" w:evenVBand="0" w:oddHBand="0" w:evenHBand="0" w:firstRowFirstColumn="0" w:firstRowLastColumn="0" w:lastRowFirstColumn="0" w:lastRowLastColumn="0"/>
            </w:pPr>
            <w:r w:rsidRPr="00C4276B">
              <w:t>10,620</w:t>
            </w:r>
          </w:p>
        </w:tc>
        <w:tc>
          <w:tcPr>
            <w:tcW w:w="0" w:type="dxa"/>
          </w:tcPr>
          <w:p w14:paraId="033AFD4F" w14:textId="0E109174" w:rsidR="001842A6" w:rsidRPr="00C4276B" w:rsidDel="00C75F3D" w:rsidRDefault="00823637" w:rsidP="00D65CF9">
            <w:pPr>
              <w:pStyle w:val="TableSpacing"/>
              <w:cnfStyle w:val="000000000000" w:firstRow="0" w:lastRow="0" w:firstColumn="0" w:lastColumn="0" w:oddVBand="0" w:evenVBand="0" w:oddHBand="0" w:evenHBand="0" w:firstRowFirstColumn="0" w:firstRowLastColumn="0" w:lastRowFirstColumn="0" w:lastRowLastColumn="0"/>
            </w:pPr>
            <w:r w:rsidRPr="00C4276B">
              <w:t>75</w:t>
            </w:r>
          </w:p>
        </w:tc>
      </w:tr>
      <w:tr w:rsidR="001842A6" w:rsidRPr="00494D22" w14:paraId="0F4BB866" w14:textId="20338305" w:rsidTr="00D65CF9">
        <w:trPr>
          <w:trHeight w:val="210"/>
        </w:trPr>
        <w:tc>
          <w:tcPr>
            <w:cnfStyle w:val="001000000000" w:firstRow="0" w:lastRow="0" w:firstColumn="1" w:lastColumn="0" w:oddVBand="0" w:evenVBand="0" w:oddHBand="0" w:evenHBand="0" w:firstRowFirstColumn="0" w:firstRowLastColumn="0" w:lastRowFirstColumn="0" w:lastRowLastColumn="0"/>
            <w:tcW w:w="0" w:type="dxa"/>
            <w:noWrap/>
          </w:tcPr>
          <w:p w14:paraId="12AC67DC" w14:textId="246F66AB" w:rsidR="001842A6" w:rsidRPr="00C4276B" w:rsidRDefault="001842A6" w:rsidP="00D65CF9">
            <w:pPr>
              <w:pStyle w:val="TableSpacing"/>
            </w:pPr>
            <w:r w:rsidRPr="00C4276B">
              <w:t xml:space="preserve">Additional </w:t>
            </w:r>
            <w:r w:rsidR="008F59C8" w:rsidRPr="00C4276B">
              <w:t>hourly fee</w:t>
            </w:r>
            <w:r w:rsidRPr="00C4276B">
              <w:t xml:space="preserve"> for over </w:t>
            </w:r>
            <w:r w:rsidR="008F59C8" w:rsidRPr="00C4276B">
              <w:t>capped hours</w:t>
            </w:r>
          </w:p>
        </w:tc>
        <w:tc>
          <w:tcPr>
            <w:tcW w:w="0" w:type="dxa"/>
            <w:noWrap/>
          </w:tcPr>
          <w:p w14:paraId="7B192920" w14:textId="71334C6C" w:rsidR="001842A6" w:rsidRPr="00C4276B" w:rsidRDefault="00750D6A" w:rsidP="00D65CF9">
            <w:pPr>
              <w:pStyle w:val="TableSpacing"/>
              <w:cnfStyle w:val="000000000000" w:firstRow="0" w:lastRow="0" w:firstColumn="0" w:lastColumn="0" w:oddVBand="0" w:evenVBand="0" w:oddHBand="0" w:evenHBand="0" w:firstRowFirstColumn="0" w:firstRowLastColumn="0" w:lastRowFirstColumn="0" w:lastRowLastColumn="0"/>
            </w:pPr>
            <w:r w:rsidRPr="00C4276B">
              <w:t>143.68</w:t>
            </w:r>
          </w:p>
        </w:tc>
        <w:tc>
          <w:tcPr>
            <w:tcW w:w="0" w:type="dxa"/>
          </w:tcPr>
          <w:p w14:paraId="73361DEC" w14:textId="74416303" w:rsidR="001842A6" w:rsidRPr="00C4276B" w:rsidRDefault="001842A6" w:rsidP="00D65CF9">
            <w:pPr>
              <w:pStyle w:val="TableSpacing"/>
              <w:cnfStyle w:val="000000000000" w:firstRow="0" w:lastRow="0" w:firstColumn="0" w:lastColumn="0" w:oddVBand="0" w:evenVBand="0" w:oddHBand="0" w:evenHBand="0" w:firstRowFirstColumn="0" w:firstRowLastColumn="0" w:lastRowFirstColumn="0" w:lastRowLastColumn="0"/>
            </w:pPr>
          </w:p>
        </w:tc>
      </w:tr>
    </w:tbl>
    <w:p w14:paraId="32A76EFD" w14:textId="77777777" w:rsidR="00A331FD" w:rsidRPr="00D65CF9" w:rsidRDefault="00A331FD" w:rsidP="00D65CF9">
      <w:pPr>
        <w:shd w:val="clear" w:color="auto" w:fill="E2F1EE"/>
        <w:spacing w:before="400"/>
        <w:rPr>
          <w:rStyle w:val="Emphasis"/>
        </w:rPr>
      </w:pPr>
      <w:r w:rsidRPr="00D65CF9">
        <w:rPr>
          <w:rStyle w:val="Emphasis"/>
        </w:rPr>
        <w:t>Example</w:t>
      </w:r>
    </w:p>
    <w:p w14:paraId="5C599F5F" w14:textId="77777777" w:rsidR="00A331FD" w:rsidRPr="00454725" w:rsidRDefault="00A331FD" w:rsidP="00D65CF9">
      <w:pPr>
        <w:shd w:val="clear" w:color="auto" w:fill="E2F1EE"/>
        <w:spacing w:before="200"/>
      </w:pPr>
      <w:r w:rsidRPr="00454725">
        <w:t>Sarah applies for a licence to export processed waste glass and plastics for a period of three years.</w:t>
      </w:r>
    </w:p>
    <w:p w14:paraId="7543F9F1" w14:textId="77777777" w:rsidR="00A331FD" w:rsidRPr="00454725" w:rsidRDefault="00A331FD" w:rsidP="00D65CF9">
      <w:pPr>
        <w:shd w:val="clear" w:color="auto" w:fill="E2F1EE"/>
        <w:spacing w:before="200"/>
        <w:rPr>
          <w:b/>
          <w:bCs/>
        </w:rPr>
      </w:pPr>
      <w:r w:rsidRPr="00454725">
        <w:t xml:space="preserve">Sarah will be required to pay an </w:t>
      </w:r>
      <w:r>
        <w:t xml:space="preserve">up-front </w:t>
      </w:r>
      <w:r w:rsidRPr="00454725">
        <w:t xml:space="preserve">application fee of </w:t>
      </w:r>
      <w:r w:rsidRPr="00454725">
        <w:rPr>
          <w:b/>
          <w:bCs/>
        </w:rPr>
        <w:t>$</w:t>
      </w:r>
      <w:r>
        <w:rPr>
          <w:b/>
          <w:bCs/>
        </w:rPr>
        <w:t>15,030</w:t>
      </w:r>
      <w:r w:rsidRPr="00454725">
        <w:rPr>
          <w:b/>
          <w:bCs/>
        </w:rPr>
        <w:t xml:space="preserve">. </w:t>
      </w:r>
    </w:p>
    <w:p w14:paraId="4BD88B1C" w14:textId="77777777" w:rsidR="00A331FD" w:rsidRPr="00454725" w:rsidRDefault="00A331FD" w:rsidP="00D65CF9">
      <w:pPr>
        <w:shd w:val="clear" w:color="auto" w:fill="E2F1EE"/>
        <w:spacing w:before="200"/>
      </w:pPr>
      <w:r>
        <w:t>D</w:t>
      </w:r>
      <w:r w:rsidRPr="00454725">
        <w:t xml:space="preserve">ue to the complexity of the application, the department takes an additional 10 hours, over the capped 112.5 hours, to assess and approve the application. In addition to the application fee, </w:t>
      </w:r>
      <w:r>
        <w:t xml:space="preserve">Sarah </w:t>
      </w:r>
      <w:r w:rsidRPr="00454725">
        <w:t>is required to pay a</w:t>
      </w:r>
      <w:r>
        <w:t xml:space="preserve"> further</w:t>
      </w:r>
      <w:r w:rsidRPr="00454725">
        <w:t xml:space="preserve"> </w:t>
      </w:r>
      <w:r w:rsidRPr="00454725">
        <w:rPr>
          <w:b/>
          <w:bCs/>
        </w:rPr>
        <w:t>$1,</w:t>
      </w:r>
      <w:r>
        <w:rPr>
          <w:b/>
          <w:bCs/>
        </w:rPr>
        <w:t>436.80.</w:t>
      </w:r>
      <w:r w:rsidRPr="00454725">
        <w:t xml:space="preserve"> </w:t>
      </w:r>
    </w:p>
    <w:p w14:paraId="21F51604" w14:textId="4D5D950D" w:rsidR="00A331FD" w:rsidRDefault="00A331FD" w:rsidP="00D65CF9">
      <w:pPr>
        <w:shd w:val="clear" w:color="auto" w:fill="E2F1EE"/>
        <w:spacing w:before="200"/>
      </w:pPr>
      <w:r w:rsidRPr="00454725">
        <w:t xml:space="preserve">The total cost of the application will be </w:t>
      </w:r>
      <w:r w:rsidRPr="00454725">
        <w:rPr>
          <w:b/>
          <w:bCs/>
        </w:rPr>
        <w:t>$</w:t>
      </w:r>
      <w:r>
        <w:rPr>
          <w:b/>
          <w:bCs/>
        </w:rPr>
        <w:t>16,129.50</w:t>
      </w:r>
      <w:r w:rsidRPr="00454725">
        <w:rPr>
          <w:b/>
          <w:bCs/>
        </w:rPr>
        <w:t>.</w:t>
      </w:r>
    </w:p>
    <w:p w14:paraId="095B7A3C" w14:textId="0C6923B7" w:rsidR="001A6DD6" w:rsidRPr="000F3F15" w:rsidRDefault="001A6DD6" w:rsidP="00D7571B">
      <w:pPr>
        <w:pStyle w:val="Heading2"/>
      </w:pPr>
      <w:bookmarkStart w:id="34" w:name="_Toc116383708"/>
      <w:bookmarkEnd w:id="23"/>
      <w:r w:rsidRPr="00B1549C">
        <w:t>Levy</w:t>
      </w:r>
      <w:bookmarkEnd w:id="34"/>
      <w:r>
        <w:t xml:space="preserve"> </w:t>
      </w:r>
    </w:p>
    <w:p w14:paraId="156D0D17" w14:textId="013F6BD5" w:rsidR="001A6DD6" w:rsidRDefault="001A6DD6" w:rsidP="00D65CF9">
      <w:pPr>
        <w:rPr>
          <w:rFonts w:cstheme="minorHAnsi"/>
          <w:color w:val="000000"/>
        </w:rPr>
      </w:pPr>
      <w:r>
        <w:t>F</w:t>
      </w:r>
      <w:r w:rsidRPr="007E24F0">
        <w:rPr>
          <w:rFonts w:cstheme="minorHAnsi"/>
          <w:color w:val="000000"/>
        </w:rPr>
        <w:t xml:space="preserve">rom 1 July 2023, costs of administering the </w:t>
      </w:r>
      <w:proofErr w:type="spellStart"/>
      <w:r w:rsidR="00763689">
        <w:rPr>
          <w:rFonts w:cstheme="minorHAnsi"/>
          <w:color w:val="000000"/>
        </w:rPr>
        <w:t>RaWR</w:t>
      </w:r>
      <w:proofErr w:type="spellEnd"/>
      <w:r w:rsidR="00763689">
        <w:rPr>
          <w:rFonts w:cstheme="minorHAnsi"/>
          <w:color w:val="000000"/>
        </w:rPr>
        <w:t xml:space="preserve"> </w:t>
      </w:r>
      <w:r w:rsidRPr="007E24F0">
        <w:rPr>
          <w:rFonts w:cstheme="minorHAnsi"/>
          <w:color w:val="000000"/>
        </w:rPr>
        <w:t xml:space="preserve">Act that cannot be directly linked to applicants will be recovered through a levy. </w:t>
      </w:r>
    </w:p>
    <w:p w14:paraId="139BF52A" w14:textId="61148D13" w:rsidR="001A6DD6" w:rsidRDefault="001A6DD6" w:rsidP="00D65CF9">
      <w:pPr>
        <w:rPr>
          <w:rFonts w:cstheme="minorHAnsi"/>
          <w:color w:val="000000"/>
        </w:rPr>
      </w:pPr>
      <w:r w:rsidRPr="00405DCE">
        <w:rPr>
          <w:b/>
        </w:rPr>
        <w:t>The department is proposing a levy of $</w:t>
      </w:r>
      <w:r w:rsidR="00F14A9D">
        <w:rPr>
          <w:rFonts w:cstheme="minorHAnsi"/>
          <w:b/>
          <w:bCs/>
          <w:color w:val="000000"/>
        </w:rPr>
        <w:t>3.98</w:t>
      </w:r>
      <w:r w:rsidRPr="00405DCE">
        <w:rPr>
          <w:rFonts w:cstheme="minorHAnsi"/>
          <w:b/>
          <w:bCs/>
          <w:color w:val="000000"/>
        </w:rPr>
        <w:t xml:space="preserve"> per tonne</w:t>
      </w:r>
      <w:r w:rsidR="007A61A7">
        <w:rPr>
          <w:rFonts w:cstheme="minorHAnsi"/>
          <w:color w:val="000000"/>
        </w:rPr>
        <w:t xml:space="preserve"> to be paid upon export of each consignment</w:t>
      </w:r>
      <w:r w:rsidRPr="00405DCE">
        <w:rPr>
          <w:rFonts w:cstheme="minorHAnsi"/>
          <w:b/>
          <w:bCs/>
          <w:color w:val="000000"/>
        </w:rPr>
        <w:t xml:space="preserve">. </w:t>
      </w:r>
      <w:r w:rsidRPr="00AB7156">
        <w:rPr>
          <w:rFonts w:cstheme="minorHAnsi"/>
          <w:color w:val="000000"/>
        </w:rPr>
        <w:t xml:space="preserve">This levy will be consistent across all </w:t>
      </w:r>
      <w:r w:rsidR="00BA057E">
        <w:rPr>
          <w:rFonts w:cstheme="minorHAnsi"/>
          <w:color w:val="000000"/>
        </w:rPr>
        <w:t xml:space="preserve">export </w:t>
      </w:r>
      <w:r w:rsidRPr="00AB7156">
        <w:rPr>
          <w:rFonts w:cstheme="minorHAnsi"/>
          <w:color w:val="000000"/>
        </w:rPr>
        <w:t xml:space="preserve">types, as there are no systematic differences across each of the </w:t>
      </w:r>
      <w:r w:rsidR="00BA057E">
        <w:rPr>
          <w:rFonts w:cstheme="minorHAnsi"/>
          <w:color w:val="000000"/>
        </w:rPr>
        <w:t>material</w:t>
      </w:r>
      <w:r w:rsidR="00BA057E" w:rsidRPr="00AB7156">
        <w:rPr>
          <w:rFonts w:cstheme="minorHAnsi"/>
          <w:color w:val="000000"/>
        </w:rPr>
        <w:t xml:space="preserve"> </w:t>
      </w:r>
      <w:r w:rsidRPr="00AB7156">
        <w:rPr>
          <w:rFonts w:cstheme="minorHAnsi"/>
          <w:color w:val="000000"/>
        </w:rPr>
        <w:t>streams that would drive different program costs.</w:t>
      </w:r>
      <w:r w:rsidR="00663D2B" w:rsidRPr="00AB7156">
        <w:rPr>
          <w:rFonts w:cstheme="minorHAnsi"/>
          <w:color w:val="000000"/>
        </w:rPr>
        <w:t xml:space="preserve"> We </w:t>
      </w:r>
      <w:r w:rsidR="00636A01">
        <w:rPr>
          <w:rFonts w:cstheme="minorHAnsi"/>
          <w:color w:val="000000"/>
        </w:rPr>
        <w:t xml:space="preserve">want </w:t>
      </w:r>
      <w:r w:rsidR="00663D2B" w:rsidRPr="00AB7156">
        <w:rPr>
          <w:rFonts w:cstheme="minorHAnsi"/>
          <w:color w:val="000000"/>
        </w:rPr>
        <w:t xml:space="preserve">to hear </w:t>
      </w:r>
      <w:r w:rsidR="00636A01">
        <w:rPr>
          <w:rFonts w:cstheme="minorHAnsi"/>
          <w:color w:val="000000"/>
        </w:rPr>
        <w:t>stakeholder</w:t>
      </w:r>
      <w:r w:rsidR="00663D2B" w:rsidRPr="00AB7156">
        <w:rPr>
          <w:rFonts w:cstheme="minorHAnsi"/>
          <w:color w:val="000000"/>
        </w:rPr>
        <w:t xml:space="preserve"> </w:t>
      </w:r>
      <w:r w:rsidR="00636A01">
        <w:rPr>
          <w:rFonts w:cstheme="minorHAnsi"/>
          <w:color w:val="000000"/>
        </w:rPr>
        <w:t xml:space="preserve">views </w:t>
      </w:r>
      <w:r w:rsidR="00663D2B" w:rsidRPr="00AB7156">
        <w:rPr>
          <w:rFonts w:cstheme="minorHAnsi"/>
          <w:color w:val="000000"/>
        </w:rPr>
        <w:t xml:space="preserve">on this assumption and whether there are reasons to think that a different levy rate for different </w:t>
      </w:r>
      <w:r w:rsidR="00BA057E">
        <w:rPr>
          <w:rFonts w:cstheme="minorHAnsi"/>
          <w:color w:val="000000"/>
        </w:rPr>
        <w:t xml:space="preserve">material </w:t>
      </w:r>
      <w:r w:rsidR="00663D2B" w:rsidRPr="00AB7156">
        <w:rPr>
          <w:rFonts w:cstheme="minorHAnsi"/>
          <w:color w:val="000000"/>
        </w:rPr>
        <w:t>streams would better reflect program costs.</w:t>
      </w:r>
      <w:r w:rsidRPr="00AB7156">
        <w:rPr>
          <w:rFonts w:cstheme="minorHAnsi"/>
          <w:color w:val="000000"/>
        </w:rPr>
        <w:t xml:space="preserve"> The levy would be calculated based on how much the licen</w:t>
      </w:r>
      <w:r w:rsidR="00663D2B" w:rsidRPr="00AB7156">
        <w:rPr>
          <w:rFonts w:cstheme="minorHAnsi"/>
          <w:color w:val="000000"/>
        </w:rPr>
        <w:t>c</w:t>
      </w:r>
      <w:r w:rsidRPr="00AB7156">
        <w:rPr>
          <w:rFonts w:cstheme="minorHAnsi"/>
          <w:color w:val="000000"/>
        </w:rPr>
        <w:t>e holder exports over the lifetime of the licence.</w:t>
      </w:r>
    </w:p>
    <w:p w14:paraId="6118FC83" w14:textId="073EC59A" w:rsidR="001A6DD6" w:rsidRDefault="001A6DD6" w:rsidP="00D65CF9">
      <w:pPr>
        <w:rPr>
          <w:rFonts w:cstheme="minorHAnsi"/>
          <w:color w:val="000000"/>
        </w:rPr>
      </w:pPr>
      <w:r w:rsidRPr="00DA3FA3">
        <w:t xml:space="preserve">The proposed levy has been calculated on the basis that leviable costs from 2023-2024 to 2026-2027 are forecast to be </w:t>
      </w:r>
      <w:r w:rsidRPr="00DA3FA3">
        <w:rPr>
          <w:rFonts w:cstheme="minorHAnsi"/>
          <w:color w:val="000000"/>
        </w:rPr>
        <w:t>$1</w:t>
      </w:r>
      <w:r w:rsidR="00092A7C">
        <w:rPr>
          <w:rFonts w:cstheme="minorHAnsi"/>
          <w:color w:val="000000"/>
        </w:rPr>
        <w:t>3</w:t>
      </w:r>
      <w:r w:rsidRPr="00DA3FA3">
        <w:rPr>
          <w:rFonts w:cstheme="minorHAnsi"/>
          <w:color w:val="000000"/>
        </w:rPr>
        <w:t>.</w:t>
      </w:r>
      <w:r w:rsidR="00092A7C">
        <w:rPr>
          <w:rFonts w:cstheme="minorHAnsi"/>
          <w:color w:val="000000"/>
        </w:rPr>
        <w:t>3</w:t>
      </w:r>
      <w:r w:rsidR="003E53A6">
        <w:rPr>
          <w:rFonts w:cstheme="minorHAnsi"/>
          <w:color w:val="000000"/>
        </w:rPr>
        <w:t>6</w:t>
      </w:r>
      <w:r w:rsidRPr="00DA3FA3">
        <w:rPr>
          <w:rFonts w:cstheme="minorHAnsi"/>
          <w:color w:val="000000"/>
        </w:rPr>
        <w:t xml:space="preserve"> million, and the forecast export volumes over the same period are </w:t>
      </w:r>
      <w:r w:rsidR="00636A01">
        <w:rPr>
          <w:rFonts w:cstheme="minorHAnsi"/>
          <w:color w:val="000000"/>
        </w:rPr>
        <w:br/>
      </w:r>
      <w:r w:rsidR="00092A7C">
        <w:rPr>
          <w:rFonts w:cstheme="minorHAnsi"/>
          <w:color w:val="000000"/>
        </w:rPr>
        <w:t>3.</w:t>
      </w:r>
      <w:r w:rsidR="003E53A6">
        <w:rPr>
          <w:rFonts w:cstheme="minorHAnsi"/>
          <w:color w:val="000000"/>
        </w:rPr>
        <w:t>36</w:t>
      </w:r>
      <w:r w:rsidRPr="00DA3FA3">
        <w:rPr>
          <w:rFonts w:cstheme="minorHAnsi"/>
          <w:color w:val="000000"/>
        </w:rPr>
        <w:t xml:space="preserve"> million tonnes, yielding a per tonne cost of $</w:t>
      </w:r>
      <w:r w:rsidR="00092A7C">
        <w:rPr>
          <w:rFonts w:cstheme="minorHAnsi"/>
          <w:color w:val="000000"/>
        </w:rPr>
        <w:t>3.98</w:t>
      </w:r>
      <w:r w:rsidRPr="00DA3FA3">
        <w:rPr>
          <w:rFonts w:cstheme="minorHAnsi"/>
          <w:color w:val="000000"/>
        </w:rPr>
        <w:t xml:space="preserve">. </w:t>
      </w:r>
      <w:r>
        <w:rPr>
          <w:rFonts w:cstheme="minorHAnsi"/>
          <w:color w:val="000000"/>
        </w:rPr>
        <w:t>Further explanation of these figures is below.</w:t>
      </w:r>
    </w:p>
    <w:p w14:paraId="169C0688" w14:textId="24A87834" w:rsidR="001A6DD6" w:rsidRPr="00405DCE" w:rsidRDefault="001A6DD6" w:rsidP="00D65CF9">
      <w:pPr>
        <w:pStyle w:val="Heading3"/>
      </w:pPr>
      <w:bookmarkStart w:id="35" w:name="_Toc116383709"/>
      <w:r>
        <w:t>Activity Cost Breakdown</w:t>
      </w:r>
      <w:bookmarkEnd w:id="35"/>
      <w:r>
        <w:t xml:space="preserve"> </w:t>
      </w:r>
    </w:p>
    <w:p w14:paraId="7AB35A2E" w14:textId="2D8A3615" w:rsidR="001A6DD6" w:rsidRPr="007E24F0" w:rsidRDefault="001A6DD6" w:rsidP="00D65CF9">
      <w:pPr>
        <w:rPr>
          <w:rFonts w:cstheme="minorHAnsi"/>
          <w:color w:val="000000"/>
        </w:rPr>
      </w:pPr>
      <w:r>
        <w:t xml:space="preserve">Using the ABC methodology, the direct and indirect costs of the scheme have been calculated. </w:t>
      </w:r>
      <w:r w:rsidR="00BA057E">
        <w:br/>
      </w:r>
      <w:r>
        <w:t xml:space="preserve">As detailed above, </w:t>
      </w:r>
      <w:r w:rsidRPr="000F4E24">
        <w:t xml:space="preserve">effort at each APS classification level required for each activity and the expected frequency of each task was used to calculate our cost base and staffing requirements. </w:t>
      </w:r>
      <w:r w:rsidR="00DD28D8">
        <w:fldChar w:fldCharType="begin"/>
      </w:r>
      <w:r w:rsidR="00DD28D8">
        <w:instrText xml:space="preserve"> REF _Ref116297037 \h </w:instrText>
      </w:r>
      <w:r w:rsidR="00DD28D8">
        <w:fldChar w:fldCharType="separate"/>
      </w:r>
      <w:r w:rsidR="00AF29EE">
        <w:t xml:space="preserve">Table </w:t>
      </w:r>
      <w:r w:rsidR="00AF29EE">
        <w:rPr>
          <w:noProof/>
        </w:rPr>
        <w:t>11</w:t>
      </w:r>
      <w:r w:rsidR="00DD28D8">
        <w:fldChar w:fldCharType="end"/>
      </w:r>
      <w:r w:rsidR="00DD28D8">
        <w:t xml:space="preserve"> </w:t>
      </w:r>
      <w:r>
        <w:t xml:space="preserve">details the breakdown of these costs for the period of </w:t>
      </w:r>
      <w:r w:rsidRPr="000F4E24">
        <w:rPr>
          <w:rFonts w:cstheme="minorHAnsi"/>
          <w:color w:val="000000"/>
        </w:rPr>
        <w:t>2023-2024 to 2026-2027</w:t>
      </w:r>
      <w:r>
        <w:rPr>
          <w:rFonts w:cstheme="minorHAnsi"/>
          <w:color w:val="000000"/>
        </w:rPr>
        <w:t xml:space="preserve">. Further details of the activities are at </w:t>
      </w:r>
      <w:r w:rsidRPr="001F7DED">
        <w:rPr>
          <w:rFonts w:cstheme="minorHAnsi"/>
          <w:b/>
          <w:bCs/>
          <w:color w:val="000000"/>
        </w:rPr>
        <w:t>Attachment A</w:t>
      </w:r>
      <w:r>
        <w:rPr>
          <w:rFonts w:cstheme="minorHAnsi"/>
          <w:color w:val="000000"/>
        </w:rPr>
        <w:t>.</w:t>
      </w:r>
    </w:p>
    <w:p w14:paraId="0911E67F" w14:textId="76444215" w:rsidR="00652A5D" w:rsidRDefault="00652A5D" w:rsidP="00D65CF9">
      <w:pPr>
        <w:pStyle w:val="Caption"/>
      </w:pPr>
      <w:bookmarkStart w:id="36" w:name="_Ref116297037"/>
      <w:r>
        <w:lastRenderedPageBreak/>
        <w:t xml:space="preserve">Table </w:t>
      </w:r>
      <w:fldSimple w:instr=" SEQ Table \* ARABIC ">
        <w:r w:rsidR="00AF29EE">
          <w:rPr>
            <w:noProof/>
          </w:rPr>
          <w:t>11</w:t>
        </w:r>
      </w:fldSimple>
      <w:bookmarkEnd w:id="36"/>
      <w:r w:rsidR="008F59C8" w:rsidRPr="007E24F0">
        <w:rPr>
          <w:rFonts w:cstheme="minorHAnsi"/>
        </w:rPr>
        <w:t xml:space="preserve">: </w:t>
      </w:r>
      <w:r w:rsidR="008F59C8" w:rsidRPr="00B1549C">
        <w:t>Cost type breakdown for licensing and declaration scheme for the period of the financial year 2023</w:t>
      </w:r>
      <w:r w:rsidR="008F59C8" w:rsidRPr="00B1549C">
        <w:noBreakHyphen/>
        <w:t>2024 to 2026-2027</w:t>
      </w:r>
    </w:p>
    <w:tbl>
      <w:tblPr>
        <w:tblStyle w:val="GridTable1Light-Accent2"/>
        <w:tblW w:w="8877" w:type="dxa"/>
        <w:tblLook w:val="04A0" w:firstRow="1" w:lastRow="0" w:firstColumn="1" w:lastColumn="0" w:noHBand="0" w:noVBand="1"/>
      </w:tblPr>
      <w:tblGrid>
        <w:gridCol w:w="4076"/>
        <w:gridCol w:w="1641"/>
        <w:gridCol w:w="1519"/>
        <w:gridCol w:w="1641"/>
      </w:tblGrid>
      <w:tr w:rsidR="00853AFC" w:rsidRPr="00853AFC" w14:paraId="1CB14AF0" w14:textId="77777777" w:rsidTr="00853A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6" w:type="dxa"/>
            <w:noWrap/>
            <w:hideMark/>
          </w:tcPr>
          <w:p w14:paraId="0D1FA15A" w14:textId="77777777" w:rsidR="00853AFC" w:rsidRPr="00853AFC" w:rsidRDefault="00853AFC" w:rsidP="00D65CF9">
            <w:pPr>
              <w:pStyle w:val="TableSpacing"/>
            </w:pPr>
          </w:p>
        </w:tc>
        <w:tc>
          <w:tcPr>
            <w:tcW w:w="4801" w:type="dxa"/>
            <w:gridSpan w:val="3"/>
            <w:noWrap/>
            <w:hideMark/>
          </w:tcPr>
          <w:p w14:paraId="117DA861" w14:textId="77777777" w:rsidR="00853AFC" w:rsidRPr="00853AFC" w:rsidRDefault="00853AFC" w:rsidP="00D65CF9">
            <w:pPr>
              <w:pStyle w:val="TableSpacing"/>
              <w:cnfStyle w:val="100000000000" w:firstRow="1" w:lastRow="0" w:firstColumn="0" w:lastColumn="0" w:oddVBand="0" w:evenVBand="0" w:oddHBand="0" w:evenHBand="0" w:firstRowFirstColumn="0" w:firstRowLastColumn="0" w:lastRowFirstColumn="0" w:lastRowLastColumn="0"/>
            </w:pPr>
            <w:r w:rsidRPr="00853AFC">
              <w:t>Costs 2023-2024 to 2026-2027</w:t>
            </w:r>
          </w:p>
        </w:tc>
      </w:tr>
      <w:tr w:rsidR="00853AFC" w:rsidRPr="00853AFC" w14:paraId="4078A7A8"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shd w:val="clear" w:color="auto" w:fill="B8DCD7" w:themeFill="accent2" w:themeFillTint="40"/>
            <w:noWrap/>
            <w:hideMark/>
          </w:tcPr>
          <w:p w14:paraId="5894876B" w14:textId="77777777" w:rsidR="00853AFC" w:rsidRPr="00853AFC" w:rsidRDefault="00853AFC" w:rsidP="00D65CF9">
            <w:pPr>
              <w:pStyle w:val="TableSpacing"/>
            </w:pPr>
            <w:r w:rsidRPr="00853AFC">
              <w:t>Activity</w:t>
            </w:r>
          </w:p>
        </w:tc>
        <w:tc>
          <w:tcPr>
            <w:tcW w:w="1641" w:type="dxa"/>
            <w:shd w:val="clear" w:color="auto" w:fill="B8DCD7" w:themeFill="accent2" w:themeFillTint="40"/>
            <w:noWrap/>
            <w:hideMark/>
          </w:tcPr>
          <w:p w14:paraId="457A9C11" w14:textId="77777777" w:rsidR="00853AFC" w:rsidRPr="00D65CF9" w:rsidRDefault="00853AFC"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 xml:space="preserve">Direct Cost </w:t>
            </w:r>
          </w:p>
          <w:p w14:paraId="551BF07B" w14:textId="0A42F340" w:rsidR="00853AFC" w:rsidRPr="00D65CF9" w:rsidRDefault="00853AFC"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w:t>
            </w:r>
          </w:p>
        </w:tc>
        <w:tc>
          <w:tcPr>
            <w:tcW w:w="1519" w:type="dxa"/>
            <w:shd w:val="clear" w:color="auto" w:fill="B8DCD7" w:themeFill="accent2" w:themeFillTint="40"/>
            <w:noWrap/>
            <w:hideMark/>
          </w:tcPr>
          <w:p w14:paraId="2BE58C01" w14:textId="45212E37" w:rsidR="00853AFC" w:rsidRPr="00D65CF9" w:rsidRDefault="00853AFC"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Indirect Cost ($)</w:t>
            </w:r>
          </w:p>
        </w:tc>
        <w:tc>
          <w:tcPr>
            <w:tcW w:w="1641" w:type="dxa"/>
            <w:shd w:val="clear" w:color="auto" w:fill="B8DCD7" w:themeFill="accent2" w:themeFillTint="40"/>
            <w:noWrap/>
            <w:hideMark/>
          </w:tcPr>
          <w:p w14:paraId="28856285" w14:textId="77777777" w:rsidR="00853AFC" w:rsidRPr="00D65CF9" w:rsidRDefault="00853AFC"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Total Cost</w:t>
            </w:r>
          </w:p>
          <w:p w14:paraId="2038DCBB" w14:textId="1C948F1C" w:rsidR="00853AFC" w:rsidRPr="00D65CF9" w:rsidRDefault="00853AFC" w:rsidP="00D65CF9">
            <w:pPr>
              <w:pStyle w:val="TableSpacing"/>
              <w:cnfStyle w:val="000000000000" w:firstRow="0" w:lastRow="0" w:firstColumn="0" w:lastColumn="0" w:oddVBand="0" w:evenVBand="0" w:oddHBand="0" w:evenHBand="0" w:firstRowFirstColumn="0" w:firstRowLastColumn="0" w:lastRowFirstColumn="0" w:lastRowLastColumn="0"/>
              <w:rPr>
                <w:b/>
              </w:rPr>
            </w:pPr>
            <w:r w:rsidRPr="00D65CF9">
              <w:rPr>
                <w:b/>
              </w:rPr>
              <w:t>($)</w:t>
            </w:r>
          </w:p>
        </w:tc>
      </w:tr>
      <w:tr w:rsidR="00853AFC" w:rsidRPr="00853AFC" w14:paraId="27267472"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6FC4BAEF" w14:textId="77777777" w:rsidR="00853AFC" w:rsidRPr="00D65CF9" w:rsidRDefault="00853AFC" w:rsidP="00D65CF9">
            <w:pPr>
              <w:pStyle w:val="TableSpacing"/>
              <w:rPr>
                <w:b w:val="0"/>
              </w:rPr>
            </w:pPr>
            <w:r w:rsidRPr="00BF7506">
              <w:t>Policy and instructional material</w:t>
            </w:r>
          </w:p>
        </w:tc>
        <w:tc>
          <w:tcPr>
            <w:tcW w:w="1641" w:type="dxa"/>
            <w:noWrap/>
            <w:hideMark/>
          </w:tcPr>
          <w:p w14:paraId="69445A08" w14:textId="42FE8C15"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1,198,051 </w:t>
            </w:r>
          </w:p>
        </w:tc>
        <w:tc>
          <w:tcPr>
            <w:tcW w:w="1519" w:type="dxa"/>
            <w:noWrap/>
            <w:hideMark/>
          </w:tcPr>
          <w:p w14:paraId="7E3EE4CE" w14:textId="3ADF6FDE"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359,415 </w:t>
            </w:r>
          </w:p>
        </w:tc>
        <w:tc>
          <w:tcPr>
            <w:tcW w:w="1641" w:type="dxa"/>
            <w:noWrap/>
            <w:hideMark/>
          </w:tcPr>
          <w:p w14:paraId="4DDCB55C" w14:textId="79DD71A0"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1,557,466 </w:t>
            </w:r>
          </w:p>
        </w:tc>
      </w:tr>
      <w:tr w:rsidR="00853AFC" w:rsidRPr="00853AFC" w14:paraId="0C5A6ED4"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094E1415" w14:textId="77777777" w:rsidR="00853AFC" w:rsidRPr="00D65CF9" w:rsidRDefault="00853AFC" w:rsidP="00D65CF9">
            <w:pPr>
              <w:pStyle w:val="TableSpacing"/>
              <w:rPr>
                <w:b w:val="0"/>
              </w:rPr>
            </w:pPr>
            <w:r w:rsidRPr="00BF7506">
              <w:t>Workforce and business management</w:t>
            </w:r>
          </w:p>
        </w:tc>
        <w:tc>
          <w:tcPr>
            <w:tcW w:w="1641" w:type="dxa"/>
            <w:noWrap/>
            <w:hideMark/>
          </w:tcPr>
          <w:p w14:paraId="136514DE" w14:textId="174BF870"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135,885 </w:t>
            </w:r>
          </w:p>
        </w:tc>
        <w:tc>
          <w:tcPr>
            <w:tcW w:w="1519" w:type="dxa"/>
            <w:noWrap/>
            <w:hideMark/>
          </w:tcPr>
          <w:p w14:paraId="27DE34B5" w14:textId="3E6D4924"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40,765 </w:t>
            </w:r>
          </w:p>
        </w:tc>
        <w:tc>
          <w:tcPr>
            <w:tcW w:w="1641" w:type="dxa"/>
            <w:noWrap/>
            <w:hideMark/>
          </w:tcPr>
          <w:p w14:paraId="1298D61A" w14:textId="0D73EF62"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176,650 </w:t>
            </w:r>
          </w:p>
        </w:tc>
      </w:tr>
      <w:tr w:rsidR="00853AFC" w:rsidRPr="00853AFC" w14:paraId="5CA91CCB"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045A6428" w14:textId="77777777" w:rsidR="00853AFC" w:rsidRPr="00D65CF9" w:rsidRDefault="00853AFC" w:rsidP="00D65CF9">
            <w:pPr>
              <w:pStyle w:val="TableSpacing"/>
              <w:rPr>
                <w:b w:val="0"/>
              </w:rPr>
            </w:pPr>
            <w:r w:rsidRPr="00BF7506">
              <w:t>Business system administration</w:t>
            </w:r>
          </w:p>
        </w:tc>
        <w:tc>
          <w:tcPr>
            <w:tcW w:w="1641" w:type="dxa"/>
            <w:noWrap/>
            <w:hideMark/>
          </w:tcPr>
          <w:p w14:paraId="1AC0FB4B" w14:textId="49CF14F3"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2,568,180 </w:t>
            </w:r>
          </w:p>
        </w:tc>
        <w:tc>
          <w:tcPr>
            <w:tcW w:w="1519" w:type="dxa"/>
            <w:noWrap/>
            <w:hideMark/>
          </w:tcPr>
          <w:p w14:paraId="78753EE4" w14:textId="417B4EF4"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770,454 </w:t>
            </w:r>
          </w:p>
        </w:tc>
        <w:tc>
          <w:tcPr>
            <w:tcW w:w="1641" w:type="dxa"/>
            <w:noWrap/>
            <w:hideMark/>
          </w:tcPr>
          <w:p w14:paraId="44FA9814" w14:textId="19019C62"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3,338,635 </w:t>
            </w:r>
          </w:p>
        </w:tc>
      </w:tr>
      <w:tr w:rsidR="00853AFC" w:rsidRPr="00853AFC" w14:paraId="681B6467"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5EC2764E" w14:textId="77777777" w:rsidR="00853AFC" w:rsidRPr="00D65CF9" w:rsidRDefault="00853AFC" w:rsidP="00D65CF9">
            <w:pPr>
              <w:pStyle w:val="TableSpacing"/>
              <w:rPr>
                <w:b w:val="0"/>
              </w:rPr>
            </w:pPr>
            <w:r w:rsidRPr="00BF7506">
              <w:t>Stakeholder engagement</w:t>
            </w:r>
          </w:p>
        </w:tc>
        <w:tc>
          <w:tcPr>
            <w:tcW w:w="1641" w:type="dxa"/>
            <w:noWrap/>
            <w:hideMark/>
          </w:tcPr>
          <w:p w14:paraId="65417104" w14:textId="7D2F08EA"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1,393,624 </w:t>
            </w:r>
          </w:p>
        </w:tc>
        <w:tc>
          <w:tcPr>
            <w:tcW w:w="1519" w:type="dxa"/>
            <w:noWrap/>
            <w:hideMark/>
          </w:tcPr>
          <w:p w14:paraId="1A9988C3" w14:textId="322029EB"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418,087 </w:t>
            </w:r>
          </w:p>
        </w:tc>
        <w:tc>
          <w:tcPr>
            <w:tcW w:w="1641" w:type="dxa"/>
            <w:noWrap/>
            <w:hideMark/>
          </w:tcPr>
          <w:p w14:paraId="0F20604F" w14:textId="491AC10B"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1,811,711 </w:t>
            </w:r>
          </w:p>
        </w:tc>
      </w:tr>
      <w:tr w:rsidR="00853AFC" w:rsidRPr="00853AFC" w14:paraId="318A2D05"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7DE7BBF9" w14:textId="77777777" w:rsidR="00853AFC" w:rsidRPr="00D65CF9" w:rsidRDefault="00853AFC" w:rsidP="00D65CF9">
            <w:pPr>
              <w:pStyle w:val="TableSpacing"/>
              <w:rPr>
                <w:b w:val="0"/>
              </w:rPr>
            </w:pPr>
            <w:r w:rsidRPr="00BF7506">
              <w:t>Investigation support &amp; corrective action</w:t>
            </w:r>
          </w:p>
        </w:tc>
        <w:tc>
          <w:tcPr>
            <w:tcW w:w="1641" w:type="dxa"/>
            <w:noWrap/>
            <w:hideMark/>
          </w:tcPr>
          <w:p w14:paraId="3E2349A0" w14:textId="636DF7BD"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3,080,702 </w:t>
            </w:r>
          </w:p>
        </w:tc>
        <w:tc>
          <w:tcPr>
            <w:tcW w:w="1519" w:type="dxa"/>
            <w:noWrap/>
            <w:hideMark/>
          </w:tcPr>
          <w:p w14:paraId="6ACC56DD" w14:textId="40FBB0FC"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924,211 </w:t>
            </w:r>
          </w:p>
        </w:tc>
        <w:tc>
          <w:tcPr>
            <w:tcW w:w="1641" w:type="dxa"/>
            <w:noWrap/>
            <w:hideMark/>
          </w:tcPr>
          <w:p w14:paraId="3C2D5106" w14:textId="635EAF00"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4,004,913 </w:t>
            </w:r>
          </w:p>
        </w:tc>
      </w:tr>
      <w:tr w:rsidR="00853AFC" w:rsidRPr="00853AFC" w14:paraId="11BD4EA3"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1CEDEA7E" w14:textId="77777777" w:rsidR="00853AFC" w:rsidRPr="00D65CF9" w:rsidRDefault="00853AFC" w:rsidP="00D65CF9">
            <w:pPr>
              <w:pStyle w:val="TableSpacing"/>
              <w:rPr>
                <w:b w:val="0"/>
              </w:rPr>
            </w:pPr>
            <w:r w:rsidRPr="00BF7506">
              <w:t>Risk management and surveillance</w:t>
            </w:r>
          </w:p>
        </w:tc>
        <w:tc>
          <w:tcPr>
            <w:tcW w:w="1641" w:type="dxa"/>
            <w:noWrap/>
            <w:hideMark/>
          </w:tcPr>
          <w:p w14:paraId="6E4996CC" w14:textId="6B63543D"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1,897,531 </w:t>
            </w:r>
          </w:p>
        </w:tc>
        <w:tc>
          <w:tcPr>
            <w:tcW w:w="1519" w:type="dxa"/>
            <w:noWrap/>
            <w:hideMark/>
          </w:tcPr>
          <w:p w14:paraId="182B04B3" w14:textId="43588C76"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569,259 </w:t>
            </w:r>
          </w:p>
        </w:tc>
        <w:tc>
          <w:tcPr>
            <w:tcW w:w="1641" w:type="dxa"/>
            <w:noWrap/>
            <w:hideMark/>
          </w:tcPr>
          <w:p w14:paraId="456012C8" w14:textId="6B9366A9" w:rsidR="00853AFC" w:rsidRPr="00853AFC"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853AFC">
              <w:t xml:space="preserve">2,466,790 </w:t>
            </w:r>
          </w:p>
        </w:tc>
      </w:tr>
      <w:tr w:rsidR="00853AFC" w:rsidRPr="00853AFC" w14:paraId="2503810A" w14:textId="77777777" w:rsidTr="00853AFC">
        <w:trPr>
          <w:trHeight w:val="300"/>
        </w:trPr>
        <w:tc>
          <w:tcPr>
            <w:cnfStyle w:val="001000000000" w:firstRow="0" w:lastRow="0" w:firstColumn="1" w:lastColumn="0" w:oddVBand="0" w:evenVBand="0" w:oddHBand="0" w:evenHBand="0" w:firstRowFirstColumn="0" w:firstRowLastColumn="0" w:lastRowFirstColumn="0" w:lastRowLastColumn="0"/>
            <w:tcW w:w="4076" w:type="dxa"/>
            <w:hideMark/>
          </w:tcPr>
          <w:p w14:paraId="267E7DBC" w14:textId="77777777" w:rsidR="00853AFC" w:rsidRPr="00AC723C" w:rsidRDefault="00853AFC" w:rsidP="00D65CF9">
            <w:pPr>
              <w:pStyle w:val="TableSpacing"/>
            </w:pPr>
            <w:r w:rsidRPr="00AC723C">
              <w:t>Total</w:t>
            </w:r>
          </w:p>
        </w:tc>
        <w:tc>
          <w:tcPr>
            <w:tcW w:w="1641" w:type="dxa"/>
            <w:noWrap/>
            <w:hideMark/>
          </w:tcPr>
          <w:p w14:paraId="5DAA69D1" w14:textId="23086E70" w:rsidR="00853AFC" w:rsidRPr="00D65CF9"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10,273,973 </w:t>
            </w:r>
          </w:p>
        </w:tc>
        <w:tc>
          <w:tcPr>
            <w:tcW w:w="1519" w:type="dxa"/>
            <w:noWrap/>
            <w:hideMark/>
          </w:tcPr>
          <w:p w14:paraId="6DAA4C91" w14:textId="4ACEFDE8" w:rsidR="00853AFC" w:rsidRPr="00D65CF9"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3,082,192 </w:t>
            </w:r>
          </w:p>
        </w:tc>
        <w:tc>
          <w:tcPr>
            <w:tcW w:w="1641" w:type="dxa"/>
            <w:noWrap/>
            <w:hideMark/>
          </w:tcPr>
          <w:p w14:paraId="3948481E" w14:textId="41511C59" w:rsidR="00853AFC" w:rsidRPr="00D65CF9" w:rsidRDefault="00853AFC"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13,356,165 </w:t>
            </w:r>
          </w:p>
        </w:tc>
      </w:tr>
    </w:tbl>
    <w:p w14:paraId="2EA76F0E" w14:textId="77777777" w:rsidR="00F14A9D" w:rsidRDefault="00F14A9D" w:rsidP="00C4276B">
      <w:pPr>
        <w:pStyle w:val="Caption"/>
      </w:pPr>
    </w:p>
    <w:p w14:paraId="1F809048" w14:textId="2BD893B6" w:rsidR="001A6DD6" w:rsidRPr="00E21305" w:rsidRDefault="001A6DD6" w:rsidP="00D65CF9">
      <w:pPr>
        <w:pStyle w:val="Heading4"/>
      </w:pPr>
      <w:r w:rsidRPr="00E21305">
        <w:t xml:space="preserve">Forecast of Export Volumes </w:t>
      </w:r>
    </w:p>
    <w:p w14:paraId="2D5C7F05" w14:textId="3BD9C27B" w:rsidR="00C338AF" w:rsidRPr="00BF0855" w:rsidRDefault="001A6DD6" w:rsidP="00D65CF9">
      <w:r w:rsidRPr="00BF0855">
        <w:t>The forecast for future export volumes is based on export figures</w:t>
      </w:r>
      <w:r w:rsidR="00C338AF" w:rsidRPr="00BF0855">
        <w:t xml:space="preserve"> from the Australian Border Force</w:t>
      </w:r>
      <w:r w:rsidR="00745847" w:rsidRPr="00BF0855">
        <w:t>.</w:t>
      </w:r>
    </w:p>
    <w:p w14:paraId="0908E8A9" w14:textId="2A4B307D" w:rsidR="001A6DD6" w:rsidRPr="00BF0855" w:rsidRDefault="00BF0855" w:rsidP="00D65CF9">
      <w:r>
        <w:t xml:space="preserve">It </w:t>
      </w:r>
      <w:r w:rsidR="006E5D8D">
        <w:t xml:space="preserve">is </w:t>
      </w:r>
      <w:r>
        <w:t>assumed that waste production will increase by six per cent annually until 2027. This assumption has been based on a review of trends over the last decade. This percentage has been applied to the forecasted export figures</w:t>
      </w:r>
      <w:r w:rsidR="000A55EC">
        <w:t xml:space="preserve"> as exports will likely increase as waste production increases. </w:t>
      </w:r>
    </w:p>
    <w:p w14:paraId="74FB89AE" w14:textId="250FED6D" w:rsidR="00652A5D" w:rsidRDefault="00652A5D" w:rsidP="00D65CF9">
      <w:pPr>
        <w:pStyle w:val="Caption"/>
      </w:pPr>
      <w:r>
        <w:t xml:space="preserve">Table </w:t>
      </w:r>
      <w:fldSimple w:instr=" SEQ Table \* ARABIC ">
        <w:r w:rsidR="00AF29EE">
          <w:rPr>
            <w:noProof/>
          </w:rPr>
          <w:t>12</w:t>
        </w:r>
      </w:fldSimple>
      <w:r w:rsidR="008F59C8" w:rsidRPr="00BF0855">
        <w:t>: Forecast export tonnes to 2026-2027</w:t>
      </w:r>
    </w:p>
    <w:tbl>
      <w:tblPr>
        <w:tblStyle w:val="GridTable1Light-Accent2"/>
        <w:tblW w:w="9329" w:type="dxa"/>
        <w:tblLook w:val="04A0" w:firstRow="1" w:lastRow="0" w:firstColumn="1" w:lastColumn="0" w:noHBand="0" w:noVBand="1"/>
      </w:tblPr>
      <w:tblGrid>
        <w:gridCol w:w="2405"/>
        <w:gridCol w:w="1559"/>
        <w:gridCol w:w="1560"/>
        <w:gridCol w:w="1110"/>
        <w:gridCol w:w="1158"/>
        <w:gridCol w:w="1537"/>
      </w:tblGrid>
      <w:tr w:rsidR="00F14A9D" w:rsidRPr="00F14A9D" w14:paraId="33513B09" w14:textId="77777777" w:rsidTr="00F14A9D">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1AB421" w14:textId="77777777" w:rsidR="00F14A9D" w:rsidRPr="00F14A9D" w:rsidRDefault="00F14A9D" w:rsidP="00D65CF9">
            <w:pPr>
              <w:pStyle w:val="TableSpacing"/>
            </w:pPr>
            <w:r w:rsidRPr="00F14A9D">
              <w:t>Material</w:t>
            </w:r>
          </w:p>
        </w:tc>
        <w:tc>
          <w:tcPr>
            <w:tcW w:w="1559" w:type="dxa"/>
            <w:noWrap/>
            <w:hideMark/>
          </w:tcPr>
          <w:p w14:paraId="2E7D299C" w14:textId="77777777" w:rsidR="00F14A9D" w:rsidRPr="00F14A9D" w:rsidRDefault="00F14A9D" w:rsidP="00D65CF9">
            <w:pPr>
              <w:pStyle w:val="TableSpacing"/>
              <w:cnfStyle w:val="100000000000" w:firstRow="1" w:lastRow="0" w:firstColumn="0" w:lastColumn="0" w:oddVBand="0" w:evenVBand="0" w:oddHBand="0" w:evenHBand="0" w:firstRowFirstColumn="0" w:firstRowLastColumn="0" w:lastRowFirstColumn="0" w:lastRowLastColumn="0"/>
            </w:pPr>
            <w:r w:rsidRPr="00F14A9D">
              <w:t>2023-24</w:t>
            </w:r>
          </w:p>
        </w:tc>
        <w:tc>
          <w:tcPr>
            <w:tcW w:w="1560" w:type="dxa"/>
            <w:noWrap/>
            <w:hideMark/>
          </w:tcPr>
          <w:p w14:paraId="12B2146D" w14:textId="77777777" w:rsidR="00F14A9D" w:rsidRPr="00F14A9D" w:rsidRDefault="00F14A9D" w:rsidP="00D65CF9">
            <w:pPr>
              <w:pStyle w:val="TableSpacing"/>
              <w:cnfStyle w:val="100000000000" w:firstRow="1" w:lastRow="0" w:firstColumn="0" w:lastColumn="0" w:oddVBand="0" w:evenVBand="0" w:oddHBand="0" w:evenHBand="0" w:firstRowFirstColumn="0" w:firstRowLastColumn="0" w:lastRowFirstColumn="0" w:lastRowLastColumn="0"/>
            </w:pPr>
            <w:r w:rsidRPr="00F14A9D">
              <w:t>2024-25</w:t>
            </w:r>
          </w:p>
        </w:tc>
        <w:tc>
          <w:tcPr>
            <w:tcW w:w="1110" w:type="dxa"/>
            <w:noWrap/>
            <w:hideMark/>
          </w:tcPr>
          <w:p w14:paraId="54C64967" w14:textId="77777777" w:rsidR="00F14A9D" w:rsidRPr="00F14A9D" w:rsidRDefault="00F14A9D" w:rsidP="00D65CF9">
            <w:pPr>
              <w:pStyle w:val="TableSpacing"/>
              <w:cnfStyle w:val="100000000000" w:firstRow="1" w:lastRow="0" w:firstColumn="0" w:lastColumn="0" w:oddVBand="0" w:evenVBand="0" w:oddHBand="0" w:evenHBand="0" w:firstRowFirstColumn="0" w:firstRowLastColumn="0" w:lastRowFirstColumn="0" w:lastRowLastColumn="0"/>
            </w:pPr>
            <w:r w:rsidRPr="00F14A9D">
              <w:t>2025-26</w:t>
            </w:r>
          </w:p>
        </w:tc>
        <w:tc>
          <w:tcPr>
            <w:tcW w:w="1158" w:type="dxa"/>
            <w:noWrap/>
            <w:hideMark/>
          </w:tcPr>
          <w:p w14:paraId="55FAC9E9" w14:textId="77777777" w:rsidR="00F14A9D" w:rsidRPr="00F14A9D" w:rsidRDefault="00F14A9D" w:rsidP="00D65CF9">
            <w:pPr>
              <w:pStyle w:val="TableSpacing"/>
              <w:cnfStyle w:val="100000000000" w:firstRow="1" w:lastRow="0" w:firstColumn="0" w:lastColumn="0" w:oddVBand="0" w:evenVBand="0" w:oddHBand="0" w:evenHBand="0" w:firstRowFirstColumn="0" w:firstRowLastColumn="0" w:lastRowFirstColumn="0" w:lastRowLastColumn="0"/>
            </w:pPr>
            <w:r w:rsidRPr="00F14A9D">
              <w:t>2026-27</w:t>
            </w:r>
          </w:p>
        </w:tc>
        <w:tc>
          <w:tcPr>
            <w:tcW w:w="1537" w:type="dxa"/>
            <w:noWrap/>
            <w:hideMark/>
          </w:tcPr>
          <w:p w14:paraId="1120D327" w14:textId="77777777" w:rsidR="00F14A9D" w:rsidRPr="00F14A9D" w:rsidRDefault="00F14A9D" w:rsidP="00D65CF9">
            <w:pPr>
              <w:pStyle w:val="TableSpacing"/>
              <w:cnfStyle w:val="100000000000" w:firstRow="1" w:lastRow="0" w:firstColumn="0" w:lastColumn="0" w:oddVBand="0" w:evenVBand="0" w:oddHBand="0" w:evenHBand="0" w:firstRowFirstColumn="0" w:firstRowLastColumn="0" w:lastRowFirstColumn="0" w:lastRowLastColumn="0"/>
            </w:pPr>
            <w:r w:rsidRPr="00F14A9D">
              <w:t>Total tonnes</w:t>
            </w:r>
          </w:p>
        </w:tc>
      </w:tr>
      <w:tr w:rsidR="00F14A9D" w:rsidRPr="00F14A9D" w14:paraId="3495E768" w14:textId="77777777" w:rsidTr="00F14A9D">
        <w:trPr>
          <w:trHeight w:val="235"/>
        </w:trPr>
        <w:tc>
          <w:tcPr>
            <w:cnfStyle w:val="001000000000" w:firstRow="0" w:lastRow="0" w:firstColumn="1" w:lastColumn="0" w:oddVBand="0" w:evenVBand="0" w:oddHBand="0" w:evenHBand="0" w:firstRowFirstColumn="0" w:firstRowLastColumn="0" w:lastRowFirstColumn="0" w:lastRowLastColumn="0"/>
            <w:tcW w:w="2405" w:type="dxa"/>
            <w:hideMark/>
          </w:tcPr>
          <w:p w14:paraId="4E52A721" w14:textId="77777777" w:rsidR="00F14A9D" w:rsidRPr="00D65CF9" w:rsidRDefault="00F14A9D" w:rsidP="00D65CF9">
            <w:pPr>
              <w:pStyle w:val="TableSpacing"/>
              <w:rPr>
                <w:b w:val="0"/>
              </w:rPr>
            </w:pPr>
            <w:r w:rsidRPr="00BF7506">
              <w:t>Glass</w:t>
            </w:r>
          </w:p>
        </w:tc>
        <w:tc>
          <w:tcPr>
            <w:tcW w:w="1559" w:type="dxa"/>
            <w:noWrap/>
            <w:hideMark/>
          </w:tcPr>
          <w:p w14:paraId="53E2752E"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1,067 </w:t>
            </w:r>
          </w:p>
        </w:tc>
        <w:tc>
          <w:tcPr>
            <w:tcW w:w="1560" w:type="dxa"/>
            <w:noWrap/>
            <w:hideMark/>
          </w:tcPr>
          <w:p w14:paraId="31B63789"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1,131 </w:t>
            </w:r>
          </w:p>
        </w:tc>
        <w:tc>
          <w:tcPr>
            <w:tcW w:w="1110" w:type="dxa"/>
            <w:noWrap/>
            <w:hideMark/>
          </w:tcPr>
          <w:p w14:paraId="367D43BC"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1,199 </w:t>
            </w:r>
          </w:p>
        </w:tc>
        <w:tc>
          <w:tcPr>
            <w:tcW w:w="1158" w:type="dxa"/>
            <w:noWrap/>
            <w:hideMark/>
          </w:tcPr>
          <w:p w14:paraId="7E9C4947"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1,271 </w:t>
            </w:r>
          </w:p>
        </w:tc>
        <w:tc>
          <w:tcPr>
            <w:tcW w:w="1537" w:type="dxa"/>
            <w:noWrap/>
            <w:hideMark/>
          </w:tcPr>
          <w:p w14:paraId="4CB41BA8"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4,670 </w:t>
            </w:r>
          </w:p>
        </w:tc>
      </w:tr>
      <w:tr w:rsidR="00F14A9D" w:rsidRPr="00F14A9D" w14:paraId="34018105" w14:textId="77777777" w:rsidTr="00F14A9D">
        <w:trPr>
          <w:trHeight w:val="235"/>
        </w:trPr>
        <w:tc>
          <w:tcPr>
            <w:cnfStyle w:val="001000000000" w:firstRow="0" w:lastRow="0" w:firstColumn="1" w:lastColumn="0" w:oddVBand="0" w:evenVBand="0" w:oddHBand="0" w:evenHBand="0" w:firstRowFirstColumn="0" w:firstRowLastColumn="0" w:lastRowFirstColumn="0" w:lastRowLastColumn="0"/>
            <w:tcW w:w="2405" w:type="dxa"/>
            <w:hideMark/>
          </w:tcPr>
          <w:p w14:paraId="75DB3F6B" w14:textId="77777777" w:rsidR="00F14A9D" w:rsidRPr="00D65CF9" w:rsidRDefault="00F14A9D" w:rsidP="00D65CF9">
            <w:pPr>
              <w:pStyle w:val="TableSpacing"/>
              <w:rPr>
                <w:b w:val="0"/>
              </w:rPr>
            </w:pPr>
            <w:r w:rsidRPr="00BF7506">
              <w:t>Total plastics</w:t>
            </w:r>
          </w:p>
        </w:tc>
        <w:tc>
          <w:tcPr>
            <w:tcW w:w="1559" w:type="dxa"/>
            <w:noWrap/>
            <w:hideMark/>
          </w:tcPr>
          <w:p w14:paraId="771CE660"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62,801 </w:t>
            </w:r>
          </w:p>
        </w:tc>
        <w:tc>
          <w:tcPr>
            <w:tcW w:w="1560" w:type="dxa"/>
            <w:noWrap/>
            <w:hideMark/>
          </w:tcPr>
          <w:p w14:paraId="2ABEF07B"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66,569 </w:t>
            </w:r>
          </w:p>
        </w:tc>
        <w:tc>
          <w:tcPr>
            <w:tcW w:w="1110" w:type="dxa"/>
            <w:noWrap/>
            <w:hideMark/>
          </w:tcPr>
          <w:p w14:paraId="7A1C5F0B"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70,564 </w:t>
            </w:r>
          </w:p>
        </w:tc>
        <w:tc>
          <w:tcPr>
            <w:tcW w:w="1158" w:type="dxa"/>
            <w:noWrap/>
            <w:hideMark/>
          </w:tcPr>
          <w:p w14:paraId="2D772A53"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74,797 </w:t>
            </w:r>
          </w:p>
        </w:tc>
        <w:tc>
          <w:tcPr>
            <w:tcW w:w="1537" w:type="dxa"/>
            <w:noWrap/>
            <w:hideMark/>
          </w:tcPr>
          <w:p w14:paraId="4F9F7969"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274,732 </w:t>
            </w:r>
          </w:p>
        </w:tc>
      </w:tr>
      <w:tr w:rsidR="00F14A9D" w:rsidRPr="00F14A9D" w14:paraId="72CF814D" w14:textId="77777777" w:rsidTr="00F14A9D">
        <w:trPr>
          <w:trHeight w:val="235"/>
        </w:trPr>
        <w:tc>
          <w:tcPr>
            <w:cnfStyle w:val="001000000000" w:firstRow="0" w:lastRow="0" w:firstColumn="1" w:lastColumn="0" w:oddVBand="0" w:evenVBand="0" w:oddHBand="0" w:evenHBand="0" w:firstRowFirstColumn="0" w:firstRowLastColumn="0" w:lastRowFirstColumn="0" w:lastRowLastColumn="0"/>
            <w:tcW w:w="2405" w:type="dxa"/>
            <w:hideMark/>
          </w:tcPr>
          <w:p w14:paraId="38BF686B" w14:textId="77777777" w:rsidR="00F14A9D" w:rsidRPr="00D65CF9" w:rsidRDefault="00F14A9D" w:rsidP="00D65CF9">
            <w:pPr>
              <w:pStyle w:val="TableSpacing"/>
              <w:rPr>
                <w:b w:val="0"/>
              </w:rPr>
            </w:pPr>
            <w:r w:rsidRPr="00BF7506">
              <w:t>Tyres</w:t>
            </w:r>
          </w:p>
        </w:tc>
        <w:tc>
          <w:tcPr>
            <w:tcW w:w="1559" w:type="dxa"/>
            <w:noWrap/>
            <w:hideMark/>
          </w:tcPr>
          <w:p w14:paraId="2215B547"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171,490 </w:t>
            </w:r>
          </w:p>
        </w:tc>
        <w:tc>
          <w:tcPr>
            <w:tcW w:w="1560" w:type="dxa"/>
            <w:noWrap/>
            <w:hideMark/>
          </w:tcPr>
          <w:p w14:paraId="35D8278E"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181,780 </w:t>
            </w:r>
          </w:p>
        </w:tc>
        <w:tc>
          <w:tcPr>
            <w:tcW w:w="1110" w:type="dxa"/>
            <w:noWrap/>
            <w:hideMark/>
          </w:tcPr>
          <w:p w14:paraId="4072465B"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192,686 </w:t>
            </w:r>
          </w:p>
        </w:tc>
        <w:tc>
          <w:tcPr>
            <w:tcW w:w="1158" w:type="dxa"/>
            <w:noWrap/>
            <w:hideMark/>
          </w:tcPr>
          <w:p w14:paraId="7B01EDBE"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204,248 </w:t>
            </w:r>
          </w:p>
        </w:tc>
        <w:tc>
          <w:tcPr>
            <w:tcW w:w="1537" w:type="dxa"/>
            <w:noWrap/>
            <w:hideMark/>
          </w:tcPr>
          <w:p w14:paraId="140A8651"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750,204 </w:t>
            </w:r>
          </w:p>
        </w:tc>
      </w:tr>
      <w:tr w:rsidR="00F14A9D" w:rsidRPr="00F14A9D" w14:paraId="2D9BE0C0" w14:textId="77777777" w:rsidTr="00F14A9D">
        <w:trPr>
          <w:trHeight w:val="235"/>
        </w:trPr>
        <w:tc>
          <w:tcPr>
            <w:cnfStyle w:val="001000000000" w:firstRow="0" w:lastRow="0" w:firstColumn="1" w:lastColumn="0" w:oddVBand="0" w:evenVBand="0" w:oddHBand="0" w:evenHBand="0" w:firstRowFirstColumn="0" w:firstRowLastColumn="0" w:lastRowFirstColumn="0" w:lastRowLastColumn="0"/>
            <w:tcW w:w="2405" w:type="dxa"/>
            <w:hideMark/>
          </w:tcPr>
          <w:p w14:paraId="1DA069CD" w14:textId="77777777" w:rsidR="00F14A9D" w:rsidRPr="00D65CF9" w:rsidRDefault="00F14A9D" w:rsidP="00D65CF9">
            <w:pPr>
              <w:pStyle w:val="TableSpacing"/>
              <w:rPr>
                <w:b w:val="0"/>
              </w:rPr>
            </w:pPr>
            <w:r w:rsidRPr="00BF7506">
              <w:t>Paper</w:t>
            </w:r>
          </w:p>
        </w:tc>
        <w:tc>
          <w:tcPr>
            <w:tcW w:w="1559" w:type="dxa"/>
            <w:noWrap/>
            <w:hideMark/>
          </w:tcPr>
          <w:p w14:paraId="2E0796A5" w14:textId="0F325F2B"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t>-</w:t>
            </w:r>
            <w:r w:rsidRPr="00F14A9D">
              <w:t xml:space="preserve"> </w:t>
            </w:r>
          </w:p>
        </w:tc>
        <w:tc>
          <w:tcPr>
            <w:tcW w:w="1560" w:type="dxa"/>
            <w:noWrap/>
            <w:hideMark/>
          </w:tcPr>
          <w:p w14:paraId="742B021E"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731,913 </w:t>
            </w:r>
          </w:p>
        </w:tc>
        <w:tc>
          <w:tcPr>
            <w:tcW w:w="1110" w:type="dxa"/>
            <w:noWrap/>
            <w:hideMark/>
          </w:tcPr>
          <w:p w14:paraId="30FD325C"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775,828 </w:t>
            </w:r>
          </w:p>
        </w:tc>
        <w:tc>
          <w:tcPr>
            <w:tcW w:w="1158" w:type="dxa"/>
            <w:noWrap/>
            <w:hideMark/>
          </w:tcPr>
          <w:p w14:paraId="7C81B7D4"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822,378 </w:t>
            </w:r>
          </w:p>
        </w:tc>
        <w:tc>
          <w:tcPr>
            <w:tcW w:w="1537" w:type="dxa"/>
            <w:noWrap/>
            <w:hideMark/>
          </w:tcPr>
          <w:p w14:paraId="17763A00" w14:textId="77777777" w:rsidR="00F14A9D" w:rsidRPr="00F14A9D"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14A9D">
              <w:t xml:space="preserve">2,330,119 </w:t>
            </w:r>
          </w:p>
        </w:tc>
      </w:tr>
      <w:tr w:rsidR="00F14A9D" w:rsidRPr="00F14A9D" w14:paraId="2AF1E66D" w14:textId="77777777" w:rsidTr="00F14A9D">
        <w:trPr>
          <w:trHeight w:val="235"/>
        </w:trPr>
        <w:tc>
          <w:tcPr>
            <w:cnfStyle w:val="001000000000" w:firstRow="0" w:lastRow="0" w:firstColumn="1" w:lastColumn="0" w:oddVBand="0" w:evenVBand="0" w:oddHBand="0" w:evenHBand="0" w:firstRowFirstColumn="0" w:firstRowLastColumn="0" w:lastRowFirstColumn="0" w:lastRowLastColumn="0"/>
            <w:tcW w:w="2405" w:type="dxa"/>
            <w:hideMark/>
          </w:tcPr>
          <w:p w14:paraId="5009FBEB" w14:textId="77777777" w:rsidR="00F14A9D" w:rsidRPr="00F14A9D" w:rsidRDefault="00F14A9D" w:rsidP="00D65CF9">
            <w:pPr>
              <w:pStyle w:val="TableSpacing"/>
            </w:pPr>
            <w:r w:rsidRPr="00F14A9D">
              <w:t>Total</w:t>
            </w:r>
          </w:p>
        </w:tc>
        <w:tc>
          <w:tcPr>
            <w:tcW w:w="1559" w:type="dxa"/>
            <w:noWrap/>
            <w:hideMark/>
          </w:tcPr>
          <w:p w14:paraId="2A123BDE" w14:textId="77777777" w:rsidR="00F14A9D" w:rsidRPr="00D65CF9"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235,359 </w:t>
            </w:r>
          </w:p>
        </w:tc>
        <w:tc>
          <w:tcPr>
            <w:tcW w:w="1560" w:type="dxa"/>
            <w:noWrap/>
            <w:hideMark/>
          </w:tcPr>
          <w:p w14:paraId="188F70CB" w14:textId="77777777" w:rsidR="00F14A9D" w:rsidRPr="00D65CF9"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981,394 </w:t>
            </w:r>
          </w:p>
        </w:tc>
        <w:tc>
          <w:tcPr>
            <w:tcW w:w="1110" w:type="dxa"/>
            <w:noWrap/>
            <w:hideMark/>
          </w:tcPr>
          <w:p w14:paraId="51E6D79D" w14:textId="77777777" w:rsidR="00F14A9D" w:rsidRPr="00D65CF9"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1,040,277 </w:t>
            </w:r>
          </w:p>
        </w:tc>
        <w:tc>
          <w:tcPr>
            <w:tcW w:w="1158" w:type="dxa"/>
            <w:noWrap/>
            <w:hideMark/>
          </w:tcPr>
          <w:p w14:paraId="1FEA80E6" w14:textId="77777777" w:rsidR="00F14A9D" w:rsidRPr="00D65CF9"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1,102,694 </w:t>
            </w:r>
          </w:p>
        </w:tc>
        <w:tc>
          <w:tcPr>
            <w:tcW w:w="1537" w:type="dxa"/>
            <w:noWrap/>
            <w:hideMark/>
          </w:tcPr>
          <w:p w14:paraId="025FA963" w14:textId="77777777" w:rsidR="00F14A9D" w:rsidRPr="00D65CF9" w:rsidRDefault="00F14A9D"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3,359,724 </w:t>
            </w:r>
          </w:p>
        </w:tc>
      </w:tr>
    </w:tbl>
    <w:p w14:paraId="77189752" w14:textId="77777777" w:rsidR="001A6DD6" w:rsidRPr="00E21305" w:rsidRDefault="001A6DD6" w:rsidP="00D65CF9">
      <w:pPr>
        <w:pStyle w:val="Heading4"/>
      </w:pPr>
      <w:r w:rsidRPr="00E21305">
        <w:t xml:space="preserve">Total Levy </w:t>
      </w:r>
    </w:p>
    <w:p w14:paraId="06A5FA2A" w14:textId="77777777" w:rsidR="001A6DD6" w:rsidRDefault="001A6DD6" w:rsidP="00D65CF9">
      <w:r>
        <w:t>Based on the above, the levy has been calculated as follows:</w:t>
      </w:r>
    </w:p>
    <w:p w14:paraId="0864C7F8" w14:textId="7AC2830B" w:rsidR="001A6DD6" w:rsidRPr="00E21305" w:rsidRDefault="002C5E9F" w:rsidP="00D7571B">
      <w:pPr>
        <w:pStyle w:val="Heading5"/>
      </w:pPr>
      <m:oMathPara>
        <m:oMath>
          <m:f>
            <m:fPr>
              <m:ctrlPr>
                <w:rPr>
                  <w:rFonts w:ascii="Cambria Math" w:hAnsi="Cambria Math"/>
                </w:rPr>
              </m:ctrlPr>
            </m:fPr>
            <m:num>
              <m:r>
                <m:rPr>
                  <m:sty m:val="b"/>
                </m:rPr>
                <w:rPr>
                  <w:rFonts w:ascii="Cambria Math" w:hAnsi="Cambria Math"/>
                </w:rPr>
                <m:t>13</m:t>
              </m:r>
              <m:r>
                <m:rPr>
                  <m:sty m:val="p"/>
                </m:rPr>
                <w:rPr>
                  <w:rFonts w:ascii="Cambria Math" w:hAnsi="Cambria Math"/>
                </w:rPr>
                <m:t>,</m:t>
              </m:r>
              <m:r>
                <m:rPr>
                  <m:sty m:val="b"/>
                </m:rPr>
                <w:rPr>
                  <w:rFonts w:ascii="Cambria Math" w:hAnsi="Cambria Math"/>
                </w:rPr>
                <m:t>356</m:t>
              </m:r>
              <m:r>
                <m:rPr>
                  <m:sty m:val="p"/>
                </m:rPr>
                <w:rPr>
                  <w:rFonts w:ascii="Cambria Math" w:hAnsi="Cambria Math"/>
                </w:rPr>
                <m:t>,</m:t>
              </m:r>
              <m:r>
                <m:rPr>
                  <m:sty m:val="b"/>
                </m:rPr>
                <w:rPr>
                  <w:rFonts w:ascii="Cambria Math" w:hAnsi="Cambria Math"/>
                </w:rPr>
                <m:t>165</m:t>
              </m:r>
              <m:r>
                <m:rPr>
                  <m:sty m:val="p"/>
                </m:rPr>
                <w:rPr>
                  <w:rFonts w:ascii="Cambria Math" w:hAnsi="Cambria Math"/>
                </w:rPr>
                <m:t xml:space="preserve"> </m:t>
              </m:r>
            </m:num>
            <m:den>
              <m:r>
                <m:rPr>
                  <m:sty m:val="b"/>
                </m:rPr>
                <w:rPr>
                  <w:rFonts w:ascii="Cambria Math" w:hAnsi="Cambria Math"/>
                </w:rPr>
                <m:t>3</m:t>
              </m:r>
              <m:r>
                <m:rPr>
                  <m:sty m:val="p"/>
                </m:rPr>
                <w:rPr>
                  <w:rFonts w:ascii="Cambria Math" w:hAnsi="Cambria Math"/>
                </w:rPr>
                <m:t>,</m:t>
              </m:r>
              <m:r>
                <m:rPr>
                  <m:sty m:val="b"/>
                </m:rPr>
                <w:rPr>
                  <w:rFonts w:ascii="Cambria Math" w:hAnsi="Cambria Math"/>
                </w:rPr>
                <m:t>359</m:t>
              </m:r>
              <m:r>
                <m:rPr>
                  <m:sty m:val="p"/>
                </m:rPr>
                <w:rPr>
                  <w:rFonts w:ascii="Cambria Math" w:hAnsi="Cambria Math"/>
                </w:rPr>
                <m:t>,</m:t>
              </m:r>
              <m:r>
                <m:rPr>
                  <m:sty m:val="b"/>
                </m:rPr>
                <w:rPr>
                  <w:rFonts w:ascii="Cambria Math" w:hAnsi="Cambria Math"/>
                </w:rPr>
                <m:t>724</m:t>
              </m:r>
            </m:den>
          </m:f>
          <m:r>
            <m:rPr>
              <m:sty m:val="p"/>
            </m:rPr>
            <w:rPr>
              <w:rFonts w:ascii="Cambria Math" w:hAnsi="Cambria Math"/>
            </w:rPr>
            <m:t>=$3.98 per tonne</m:t>
          </m:r>
        </m:oMath>
      </m:oMathPara>
    </w:p>
    <w:p w14:paraId="3A09584E" w14:textId="77777777" w:rsidR="00347FEC" w:rsidRPr="00691F2F" w:rsidRDefault="00347FEC" w:rsidP="00D65CF9">
      <w:pPr>
        <w:shd w:val="clear" w:color="auto" w:fill="E2F1EE"/>
        <w:spacing w:before="200"/>
        <w:rPr>
          <w:rStyle w:val="Emphasis"/>
        </w:rPr>
      </w:pPr>
      <w:r w:rsidRPr="00691F2F">
        <w:rPr>
          <w:rStyle w:val="Emphasis"/>
        </w:rPr>
        <w:t>Example</w:t>
      </w:r>
    </w:p>
    <w:p w14:paraId="138D7BA9" w14:textId="77777777" w:rsidR="00347FEC" w:rsidRPr="00454725" w:rsidRDefault="00347FEC" w:rsidP="00D65CF9">
      <w:pPr>
        <w:shd w:val="clear" w:color="auto" w:fill="E2F1EE"/>
      </w:pPr>
      <w:r w:rsidRPr="00454725">
        <w:t>Sarah exports a consignment of 129 tonnes of mixed cullet glass (the average consignment exported under the scheme so far), at $326 per tonne (current market value glass waste).</w:t>
      </w:r>
    </w:p>
    <w:p w14:paraId="0B1AC047" w14:textId="34032F62" w:rsidR="00347FEC" w:rsidRDefault="00347FEC" w:rsidP="00D65CF9">
      <w:pPr>
        <w:shd w:val="clear" w:color="auto" w:fill="E2F1EE"/>
      </w:pPr>
      <w:r w:rsidRPr="00454725">
        <w:t xml:space="preserve">The value of the export is $42,054 and Sarah is liable to pay a levy of </w:t>
      </w:r>
      <w:r w:rsidRPr="00454725">
        <w:rPr>
          <w:b/>
          <w:bCs/>
        </w:rPr>
        <w:t>$</w:t>
      </w:r>
      <w:r>
        <w:rPr>
          <w:b/>
          <w:bCs/>
        </w:rPr>
        <w:t>512.82.</w:t>
      </w:r>
    </w:p>
    <w:p w14:paraId="32D45CA9" w14:textId="77777777" w:rsidR="001A6DD6" w:rsidRDefault="001A6DD6" w:rsidP="00D65CF9">
      <w:pPr>
        <w:pStyle w:val="Heading4"/>
        <w:spacing w:before="200"/>
      </w:pPr>
      <w:r w:rsidRPr="004F26EE">
        <w:t>Financial Performance of Schem</w:t>
      </w:r>
      <w:r>
        <w:t>e</w:t>
      </w:r>
    </w:p>
    <w:p w14:paraId="74310829" w14:textId="742BBFA5" w:rsidR="001A6DD6" w:rsidRDefault="001A6DD6" w:rsidP="00D65CF9">
      <w:r>
        <w:t>The Waste Export Scheme will likely run at a deficit until the 2026-27 financial year. This is a result of majority of exports, by weight, only occurring once paper and cardboard is regulated from 1</w:t>
      </w:r>
      <w:r w:rsidR="007A23BB">
        <w:t> </w:t>
      </w:r>
      <w:r>
        <w:t>July 2024. However, the scheme will be revenue-neutral over the four years to 2026-27.</w:t>
      </w:r>
    </w:p>
    <w:p w14:paraId="31372944" w14:textId="27EBB562" w:rsidR="001A6DD6" w:rsidRPr="007E24F0" w:rsidRDefault="001A6DD6" w:rsidP="00D65CF9">
      <w:r>
        <w:lastRenderedPageBreak/>
        <w:t>The below forecast is based on the recoverable costs (expenses) over the financial years, and the projected revenue from implementation of the levy.</w:t>
      </w:r>
    </w:p>
    <w:p w14:paraId="2324CD08" w14:textId="1A837310" w:rsidR="00652A5D" w:rsidRDefault="00652A5D" w:rsidP="00D65CF9">
      <w:pPr>
        <w:pStyle w:val="Caption"/>
      </w:pPr>
      <w:r>
        <w:t xml:space="preserve">Table </w:t>
      </w:r>
      <w:fldSimple w:instr=" SEQ Table \* ARABIC ">
        <w:r w:rsidR="00AF29EE">
          <w:rPr>
            <w:noProof/>
          </w:rPr>
          <w:t>13</w:t>
        </w:r>
      </w:fldSimple>
      <w:r w:rsidR="00AC723C">
        <w:t xml:space="preserve">: </w:t>
      </w:r>
      <w:r w:rsidR="00AC723C" w:rsidRPr="007E24F0">
        <w:t>Forecast financial performance of Waste Export</w:t>
      </w:r>
      <w:r w:rsidR="00AC723C">
        <w:t xml:space="preserve"> Scheme</w:t>
      </w:r>
    </w:p>
    <w:tbl>
      <w:tblPr>
        <w:tblStyle w:val="GridTable1Light-Accent2"/>
        <w:tblW w:w="9204" w:type="dxa"/>
        <w:tblLook w:val="04A0" w:firstRow="1" w:lastRow="0" w:firstColumn="1" w:lastColumn="0" w:noHBand="0" w:noVBand="1"/>
      </w:tblPr>
      <w:tblGrid>
        <w:gridCol w:w="2967"/>
        <w:gridCol w:w="1701"/>
        <w:gridCol w:w="1559"/>
        <w:gridCol w:w="1560"/>
        <w:gridCol w:w="1417"/>
      </w:tblGrid>
      <w:tr w:rsidR="00F51C44" w:rsidRPr="00F51C44" w14:paraId="02CA30B2" w14:textId="77777777" w:rsidTr="00F51C44">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967" w:type="dxa"/>
            <w:noWrap/>
            <w:hideMark/>
          </w:tcPr>
          <w:p w14:paraId="3C97E105" w14:textId="77777777" w:rsidR="00F51C44" w:rsidRPr="00F51C44" w:rsidRDefault="00F51C44" w:rsidP="00D65CF9">
            <w:pPr>
              <w:pStyle w:val="TableSpacing"/>
            </w:pPr>
            <w:r w:rsidRPr="00F51C44">
              <w:t>Forecast Levy Revenue</w:t>
            </w:r>
          </w:p>
        </w:tc>
        <w:tc>
          <w:tcPr>
            <w:tcW w:w="1701" w:type="dxa"/>
            <w:noWrap/>
            <w:hideMark/>
          </w:tcPr>
          <w:p w14:paraId="29A0639F" w14:textId="565AD6C6" w:rsidR="00F51C44" w:rsidRPr="00F51C44" w:rsidRDefault="00F51C44" w:rsidP="00D65CF9">
            <w:pPr>
              <w:pStyle w:val="TableSpacing"/>
              <w:cnfStyle w:val="100000000000" w:firstRow="1" w:lastRow="0" w:firstColumn="0" w:lastColumn="0" w:oddVBand="0" w:evenVBand="0" w:oddHBand="0" w:evenHBand="0" w:firstRowFirstColumn="0" w:firstRowLastColumn="0" w:lastRowFirstColumn="0" w:lastRowLastColumn="0"/>
            </w:pPr>
            <w:r w:rsidRPr="00F51C44">
              <w:t>2023-24</w:t>
            </w:r>
            <w:r>
              <w:t xml:space="preserve"> </w:t>
            </w:r>
          </w:p>
        </w:tc>
        <w:tc>
          <w:tcPr>
            <w:tcW w:w="1559" w:type="dxa"/>
            <w:noWrap/>
            <w:hideMark/>
          </w:tcPr>
          <w:p w14:paraId="091A8655" w14:textId="77777777" w:rsidR="00F51C44" w:rsidRPr="00F51C44" w:rsidRDefault="00F51C44" w:rsidP="00D65CF9">
            <w:pPr>
              <w:pStyle w:val="TableSpacing"/>
              <w:cnfStyle w:val="100000000000" w:firstRow="1" w:lastRow="0" w:firstColumn="0" w:lastColumn="0" w:oddVBand="0" w:evenVBand="0" w:oddHBand="0" w:evenHBand="0" w:firstRowFirstColumn="0" w:firstRowLastColumn="0" w:lastRowFirstColumn="0" w:lastRowLastColumn="0"/>
            </w:pPr>
            <w:r w:rsidRPr="00F51C44">
              <w:t>2024-25</w:t>
            </w:r>
          </w:p>
        </w:tc>
        <w:tc>
          <w:tcPr>
            <w:tcW w:w="1560" w:type="dxa"/>
            <w:noWrap/>
            <w:hideMark/>
          </w:tcPr>
          <w:p w14:paraId="59A02DDD" w14:textId="77777777" w:rsidR="00F51C44" w:rsidRPr="00F51C44" w:rsidRDefault="00F51C44" w:rsidP="00D65CF9">
            <w:pPr>
              <w:pStyle w:val="TableSpacing"/>
              <w:cnfStyle w:val="100000000000" w:firstRow="1" w:lastRow="0" w:firstColumn="0" w:lastColumn="0" w:oddVBand="0" w:evenVBand="0" w:oddHBand="0" w:evenHBand="0" w:firstRowFirstColumn="0" w:firstRowLastColumn="0" w:lastRowFirstColumn="0" w:lastRowLastColumn="0"/>
            </w:pPr>
            <w:r w:rsidRPr="00F51C44">
              <w:t>2025-26</w:t>
            </w:r>
          </w:p>
        </w:tc>
        <w:tc>
          <w:tcPr>
            <w:tcW w:w="1417" w:type="dxa"/>
            <w:noWrap/>
            <w:hideMark/>
          </w:tcPr>
          <w:p w14:paraId="710C5FF5" w14:textId="77777777" w:rsidR="00F51C44" w:rsidRPr="00F51C44" w:rsidRDefault="00F51C44" w:rsidP="00D65CF9">
            <w:pPr>
              <w:pStyle w:val="TableSpacing"/>
              <w:cnfStyle w:val="100000000000" w:firstRow="1" w:lastRow="0" w:firstColumn="0" w:lastColumn="0" w:oddVBand="0" w:evenVBand="0" w:oddHBand="0" w:evenHBand="0" w:firstRowFirstColumn="0" w:firstRowLastColumn="0" w:lastRowFirstColumn="0" w:lastRowLastColumn="0"/>
            </w:pPr>
            <w:r w:rsidRPr="00F51C44">
              <w:t>2026-27</w:t>
            </w:r>
          </w:p>
        </w:tc>
      </w:tr>
      <w:tr w:rsidR="00F51C44" w:rsidRPr="00F51C44" w14:paraId="1F9FA20F" w14:textId="77777777" w:rsidTr="00F51C44">
        <w:trPr>
          <w:trHeight w:val="162"/>
        </w:trPr>
        <w:tc>
          <w:tcPr>
            <w:cnfStyle w:val="001000000000" w:firstRow="0" w:lastRow="0" w:firstColumn="1" w:lastColumn="0" w:oddVBand="0" w:evenVBand="0" w:oddHBand="0" w:evenHBand="0" w:firstRowFirstColumn="0" w:firstRowLastColumn="0" w:lastRowFirstColumn="0" w:lastRowLastColumn="0"/>
            <w:tcW w:w="2967" w:type="dxa"/>
            <w:noWrap/>
            <w:hideMark/>
          </w:tcPr>
          <w:p w14:paraId="21BAC55A" w14:textId="5190A3E4" w:rsidR="00F51C44" w:rsidRPr="00D65CF9" w:rsidRDefault="00F51C44" w:rsidP="00D65CF9">
            <w:pPr>
              <w:pStyle w:val="TableSpacing"/>
              <w:rPr>
                <w:b w:val="0"/>
              </w:rPr>
            </w:pPr>
            <w:r w:rsidRPr="00BF7506">
              <w:t>Levy Revenue ($)</w:t>
            </w:r>
          </w:p>
        </w:tc>
        <w:tc>
          <w:tcPr>
            <w:tcW w:w="1701" w:type="dxa"/>
            <w:noWrap/>
            <w:hideMark/>
          </w:tcPr>
          <w:p w14:paraId="1531D961" w14:textId="15A7DC57"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935,641 </w:t>
            </w:r>
          </w:p>
        </w:tc>
        <w:tc>
          <w:tcPr>
            <w:tcW w:w="1559" w:type="dxa"/>
            <w:noWrap/>
            <w:hideMark/>
          </w:tcPr>
          <w:p w14:paraId="346D13E3" w14:textId="182D0CAB"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3,901,408 </w:t>
            </w:r>
          </w:p>
        </w:tc>
        <w:tc>
          <w:tcPr>
            <w:tcW w:w="1560" w:type="dxa"/>
            <w:noWrap/>
            <w:hideMark/>
          </w:tcPr>
          <w:p w14:paraId="57A0C767" w14:textId="584D22FA"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4,135,493 </w:t>
            </w:r>
          </w:p>
        </w:tc>
        <w:tc>
          <w:tcPr>
            <w:tcW w:w="1417" w:type="dxa"/>
            <w:noWrap/>
            <w:hideMark/>
          </w:tcPr>
          <w:p w14:paraId="4E0E8F63" w14:textId="7303EDB8"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4,383,623 </w:t>
            </w:r>
          </w:p>
        </w:tc>
      </w:tr>
      <w:tr w:rsidR="00F51C44" w:rsidRPr="00F51C44" w14:paraId="64E7CCD1" w14:textId="77777777" w:rsidTr="00F51C44">
        <w:trPr>
          <w:trHeight w:val="162"/>
        </w:trPr>
        <w:tc>
          <w:tcPr>
            <w:cnfStyle w:val="001000000000" w:firstRow="0" w:lastRow="0" w:firstColumn="1" w:lastColumn="0" w:oddVBand="0" w:evenVBand="0" w:oddHBand="0" w:evenHBand="0" w:firstRowFirstColumn="0" w:firstRowLastColumn="0" w:lastRowFirstColumn="0" w:lastRowLastColumn="0"/>
            <w:tcW w:w="2967" w:type="dxa"/>
            <w:noWrap/>
            <w:hideMark/>
          </w:tcPr>
          <w:p w14:paraId="4A18CBCD" w14:textId="68044669" w:rsidR="00F51C44" w:rsidRPr="00D65CF9" w:rsidRDefault="00F51C44" w:rsidP="00D65CF9">
            <w:pPr>
              <w:pStyle w:val="TableSpacing"/>
              <w:rPr>
                <w:b w:val="0"/>
              </w:rPr>
            </w:pPr>
            <w:r w:rsidRPr="00BF7506">
              <w:t>Expense ($)</w:t>
            </w:r>
          </w:p>
        </w:tc>
        <w:tc>
          <w:tcPr>
            <w:tcW w:w="1701" w:type="dxa"/>
            <w:noWrap/>
            <w:hideMark/>
          </w:tcPr>
          <w:p w14:paraId="344F53B6" w14:textId="75728DEE"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3,232,966 </w:t>
            </w:r>
          </w:p>
        </w:tc>
        <w:tc>
          <w:tcPr>
            <w:tcW w:w="1559" w:type="dxa"/>
            <w:noWrap/>
            <w:hideMark/>
          </w:tcPr>
          <w:p w14:paraId="624B3798" w14:textId="1743FD48"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3,596,124 </w:t>
            </w:r>
          </w:p>
        </w:tc>
        <w:tc>
          <w:tcPr>
            <w:tcW w:w="1560" w:type="dxa"/>
            <w:noWrap/>
            <w:hideMark/>
          </w:tcPr>
          <w:p w14:paraId="7AA0B12F" w14:textId="4D3F9BE6"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3,262,793 </w:t>
            </w:r>
          </w:p>
        </w:tc>
        <w:tc>
          <w:tcPr>
            <w:tcW w:w="1417" w:type="dxa"/>
            <w:noWrap/>
            <w:hideMark/>
          </w:tcPr>
          <w:p w14:paraId="01BA58A8" w14:textId="6479773C"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 xml:space="preserve">3,264,281 </w:t>
            </w:r>
          </w:p>
        </w:tc>
      </w:tr>
      <w:tr w:rsidR="00F51C44" w:rsidRPr="00F51C44" w14:paraId="6C2DBAF1" w14:textId="77777777" w:rsidTr="00F51C44">
        <w:trPr>
          <w:trHeight w:val="162"/>
        </w:trPr>
        <w:tc>
          <w:tcPr>
            <w:cnfStyle w:val="001000000000" w:firstRow="0" w:lastRow="0" w:firstColumn="1" w:lastColumn="0" w:oddVBand="0" w:evenVBand="0" w:oddHBand="0" w:evenHBand="0" w:firstRowFirstColumn="0" w:firstRowLastColumn="0" w:lastRowFirstColumn="0" w:lastRowLastColumn="0"/>
            <w:tcW w:w="2967" w:type="dxa"/>
            <w:noWrap/>
            <w:hideMark/>
          </w:tcPr>
          <w:p w14:paraId="2BA95914" w14:textId="4028E74E" w:rsidR="00F51C44" w:rsidRPr="00D65CF9" w:rsidRDefault="00F51C44" w:rsidP="00D65CF9">
            <w:pPr>
              <w:pStyle w:val="TableSpacing"/>
              <w:rPr>
                <w:b w:val="0"/>
              </w:rPr>
            </w:pPr>
            <w:r w:rsidRPr="00BF7506">
              <w:t>Balance ($)</w:t>
            </w:r>
          </w:p>
        </w:tc>
        <w:tc>
          <w:tcPr>
            <w:tcW w:w="1701" w:type="dxa"/>
            <w:noWrap/>
            <w:hideMark/>
          </w:tcPr>
          <w:p w14:paraId="1ACB1502" w14:textId="624DCE1A"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color w:val="C00000"/>
              </w:rPr>
            </w:pPr>
            <w:r w:rsidRPr="00D65CF9">
              <w:rPr>
                <w:b/>
                <w:color w:val="C00000"/>
              </w:rPr>
              <w:t xml:space="preserve">(2,297,326) </w:t>
            </w:r>
          </w:p>
        </w:tc>
        <w:tc>
          <w:tcPr>
            <w:tcW w:w="1559" w:type="dxa"/>
            <w:noWrap/>
            <w:hideMark/>
          </w:tcPr>
          <w:p w14:paraId="7BF19ECD" w14:textId="03B54238"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305,285 </w:t>
            </w:r>
          </w:p>
        </w:tc>
        <w:tc>
          <w:tcPr>
            <w:tcW w:w="1560" w:type="dxa"/>
            <w:noWrap/>
            <w:hideMark/>
          </w:tcPr>
          <w:p w14:paraId="7F661DB3" w14:textId="7F407F6E"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872,700 </w:t>
            </w:r>
          </w:p>
        </w:tc>
        <w:tc>
          <w:tcPr>
            <w:tcW w:w="1417" w:type="dxa"/>
            <w:noWrap/>
            <w:hideMark/>
          </w:tcPr>
          <w:p w14:paraId="0B8E465B" w14:textId="0AD44D7E"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rPr>
            </w:pPr>
            <w:r w:rsidRPr="00D65CF9">
              <w:rPr>
                <w:b/>
              </w:rPr>
              <w:t xml:space="preserve">1,119,341 </w:t>
            </w:r>
          </w:p>
        </w:tc>
      </w:tr>
      <w:tr w:rsidR="00F51C44" w:rsidRPr="00F51C44" w14:paraId="360C0477" w14:textId="77777777" w:rsidTr="00F51C44">
        <w:trPr>
          <w:trHeight w:val="292"/>
        </w:trPr>
        <w:tc>
          <w:tcPr>
            <w:cnfStyle w:val="001000000000" w:firstRow="0" w:lastRow="0" w:firstColumn="1" w:lastColumn="0" w:oddVBand="0" w:evenVBand="0" w:oddHBand="0" w:evenHBand="0" w:firstRowFirstColumn="0" w:firstRowLastColumn="0" w:lastRowFirstColumn="0" w:lastRowLastColumn="0"/>
            <w:tcW w:w="2967" w:type="dxa"/>
            <w:noWrap/>
            <w:hideMark/>
          </w:tcPr>
          <w:p w14:paraId="31699DFF" w14:textId="0298173B" w:rsidR="00F51C44" w:rsidRPr="00D65CF9" w:rsidRDefault="00F51C44" w:rsidP="00D65CF9">
            <w:pPr>
              <w:pStyle w:val="TableSpacing"/>
              <w:rPr>
                <w:b w:val="0"/>
              </w:rPr>
            </w:pPr>
            <w:r w:rsidRPr="00BF7506">
              <w:t>Cumulative Balance ($)</w:t>
            </w:r>
          </w:p>
        </w:tc>
        <w:tc>
          <w:tcPr>
            <w:tcW w:w="1701" w:type="dxa"/>
            <w:noWrap/>
            <w:hideMark/>
          </w:tcPr>
          <w:p w14:paraId="3BDF0F96" w14:textId="3C5EDA2E"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color w:val="C00000"/>
              </w:rPr>
            </w:pPr>
            <w:r w:rsidRPr="00D65CF9">
              <w:rPr>
                <w:b/>
                <w:color w:val="C00000"/>
              </w:rPr>
              <w:t>(2,297,326)</w:t>
            </w:r>
          </w:p>
        </w:tc>
        <w:tc>
          <w:tcPr>
            <w:tcW w:w="1559" w:type="dxa"/>
            <w:noWrap/>
            <w:hideMark/>
          </w:tcPr>
          <w:p w14:paraId="7765C00F" w14:textId="0217FBCC"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color w:val="C00000"/>
              </w:rPr>
            </w:pPr>
            <w:r w:rsidRPr="00D65CF9">
              <w:rPr>
                <w:b/>
                <w:color w:val="C00000"/>
              </w:rPr>
              <w:t>(1,992,041)</w:t>
            </w:r>
          </w:p>
        </w:tc>
        <w:tc>
          <w:tcPr>
            <w:tcW w:w="1560" w:type="dxa"/>
            <w:noWrap/>
            <w:hideMark/>
          </w:tcPr>
          <w:p w14:paraId="15860619" w14:textId="29957FEF" w:rsidR="00F51C44" w:rsidRPr="00D65CF9"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rPr>
                <w:b/>
                <w:color w:val="C00000"/>
              </w:rPr>
            </w:pPr>
            <w:r w:rsidRPr="00D65CF9">
              <w:rPr>
                <w:b/>
                <w:color w:val="C00000"/>
              </w:rPr>
              <w:t>(1,119,341)</w:t>
            </w:r>
          </w:p>
        </w:tc>
        <w:tc>
          <w:tcPr>
            <w:tcW w:w="1417" w:type="dxa"/>
            <w:noWrap/>
            <w:hideMark/>
          </w:tcPr>
          <w:p w14:paraId="51A4B04B" w14:textId="614EC9EE" w:rsidR="00F51C44" w:rsidRPr="00F51C44" w:rsidRDefault="00F51C44" w:rsidP="00D65CF9">
            <w:pPr>
              <w:pStyle w:val="TableSpacing"/>
              <w:jc w:val="right"/>
              <w:cnfStyle w:val="000000000000" w:firstRow="0" w:lastRow="0" w:firstColumn="0" w:lastColumn="0" w:oddVBand="0" w:evenVBand="0" w:oddHBand="0" w:evenHBand="0" w:firstRowFirstColumn="0" w:firstRowLastColumn="0" w:lastRowFirstColumn="0" w:lastRowLastColumn="0"/>
            </w:pPr>
            <w:r w:rsidRPr="00F51C44">
              <w:t>-</w:t>
            </w:r>
          </w:p>
        </w:tc>
      </w:tr>
    </w:tbl>
    <w:p w14:paraId="3D608094" w14:textId="720707DA" w:rsidR="003721A4" w:rsidRDefault="00B0398D" w:rsidP="00D65CF9">
      <w:pPr>
        <w:pStyle w:val="Heading3"/>
        <w:spacing w:before="200"/>
      </w:pPr>
      <w:bookmarkStart w:id="37" w:name="_Toc116383710"/>
      <w:bookmarkStart w:id="38" w:name="_Hlk114815319"/>
      <w:r>
        <w:t>Payment</w:t>
      </w:r>
      <w:r w:rsidR="00C72141">
        <w:t xml:space="preserve"> of </w:t>
      </w:r>
      <w:r>
        <w:t>fees and levy</w:t>
      </w:r>
      <w:bookmarkEnd w:id="37"/>
    </w:p>
    <w:p w14:paraId="1AC5DC87" w14:textId="3F3390DB" w:rsidR="00B0398D" w:rsidRPr="00B0398D" w:rsidRDefault="00B0398D" w:rsidP="00D65CF9">
      <w:r w:rsidRPr="00B0398D">
        <w:t xml:space="preserve">Licence applicants will be required to pay the full application fee (under Option One) or the base application fee (under Option Two) when they submit their application. For Option Two, </w:t>
      </w:r>
      <w:r w:rsidR="00D94AA7">
        <w:br/>
      </w:r>
      <w:r w:rsidRPr="00B0398D">
        <w:t>the department will need to calculate any additional hourly fees that are payable and issue an invoice to the applicant, which must be paid before an application is finalised.</w:t>
      </w:r>
    </w:p>
    <w:p w14:paraId="20D4B790" w14:textId="4DEACF07" w:rsidR="00C72141" w:rsidRDefault="00C72141" w:rsidP="00D65CF9">
      <w:r w:rsidRPr="00B0398D">
        <w:t xml:space="preserve">The levy will be charged at the point of export for each consignment. </w:t>
      </w:r>
      <w:r w:rsidR="00B0398D" w:rsidRPr="00B0398D">
        <w:t xml:space="preserve">The processes will be finalised and built into the </w:t>
      </w:r>
      <w:r w:rsidR="00FB63F3">
        <w:t>client licensing portal</w:t>
      </w:r>
      <w:r w:rsidR="00B0398D" w:rsidRPr="00B0398D">
        <w:t xml:space="preserve"> and any other systems over the coming months, with consultation with exporters and their agents and with</w:t>
      </w:r>
      <w:r w:rsidRPr="00B0398D">
        <w:t xml:space="preserve"> the Australian Border Force </w:t>
      </w:r>
      <w:r w:rsidR="00B0398D" w:rsidRPr="00B0398D">
        <w:t>as required</w:t>
      </w:r>
      <w:r w:rsidRPr="00B0398D">
        <w:t>.</w:t>
      </w:r>
      <w:r>
        <w:t xml:space="preserve"> </w:t>
      </w:r>
    </w:p>
    <w:p w14:paraId="69D71F49" w14:textId="77777777" w:rsidR="001A6DD6" w:rsidRDefault="001A6DD6" w:rsidP="00D7571B">
      <w:pPr>
        <w:pStyle w:val="Heading2"/>
      </w:pPr>
      <w:bookmarkStart w:id="39" w:name="_Toc116383711"/>
      <w:bookmarkEnd w:id="38"/>
      <w:r>
        <w:t>Costing Reviews</w:t>
      </w:r>
      <w:bookmarkEnd w:id="39"/>
    </w:p>
    <w:p w14:paraId="0956FF26" w14:textId="00AEEA83" w:rsidR="001A6DD6" w:rsidRDefault="001A6DD6" w:rsidP="00D65CF9">
      <w:r>
        <w:t xml:space="preserve">The costing models will be reviewed </w:t>
      </w:r>
      <w:r w:rsidRPr="00BB510E">
        <w:t>annually</w:t>
      </w:r>
      <w:r w:rsidR="00266855">
        <w:t>, no matter what fee model is implemented</w:t>
      </w:r>
      <w:r>
        <w:t xml:space="preserve">. This will allow the department to continue to monitor and amend the charging model as the scheme matures and becomes more efficient.  </w:t>
      </w:r>
    </w:p>
    <w:p w14:paraId="5C6E3A18" w14:textId="1927231B" w:rsidR="001A6DD6" w:rsidRDefault="001A6DD6" w:rsidP="00D65CF9">
      <w:r>
        <w:t xml:space="preserve">As it is likely the scheme will run at a deficit until 2026 - 2027, the levy charge will not be reviewed until this time. Industry will continue to be consulted throughout the review process. </w:t>
      </w:r>
    </w:p>
    <w:p w14:paraId="1BFA8163" w14:textId="77777777" w:rsidR="001A6DD6" w:rsidRPr="00E012B1" w:rsidRDefault="001A6DD6" w:rsidP="00D65CF9">
      <w:pPr>
        <w:pStyle w:val="Heading1"/>
      </w:pPr>
      <w:bookmarkStart w:id="40" w:name="_Toc116383712"/>
      <w:r w:rsidRPr="00B26208">
        <w:t>Risk assessment</w:t>
      </w:r>
      <w:bookmarkEnd w:id="40"/>
    </w:p>
    <w:p w14:paraId="3737B6FC" w14:textId="02958F19" w:rsidR="001A6DD6" w:rsidRDefault="001A6DD6" w:rsidP="00D65CF9">
      <w:r w:rsidRPr="00B26208">
        <w:t xml:space="preserve">The </w:t>
      </w:r>
      <w:r>
        <w:t>d</w:t>
      </w:r>
      <w:r w:rsidRPr="00B26208">
        <w:t xml:space="preserve">epartment completed a </w:t>
      </w:r>
      <w:r>
        <w:t>risk a</w:t>
      </w:r>
      <w:r w:rsidRPr="00B26208">
        <w:t>ssessment for the cost recovery component of the licen</w:t>
      </w:r>
      <w:r>
        <w:t>s</w:t>
      </w:r>
      <w:r w:rsidRPr="00B26208">
        <w:t>ing an</w:t>
      </w:r>
      <w:r>
        <w:t>d declaration scheme</w:t>
      </w:r>
      <w:r w:rsidRPr="00B26208">
        <w:t xml:space="preserve">. The overall risk rating for implementation of </w:t>
      </w:r>
      <w:r>
        <w:t xml:space="preserve">cost recovery </w:t>
      </w:r>
      <w:r w:rsidRPr="00B26208">
        <w:t>is hig</w:t>
      </w:r>
      <w:r>
        <w:t xml:space="preserve">h, as this is a new scheme and cost recovery is being implemented for the first time. </w:t>
      </w:r>
    </w:p>
    <w:p w14:paraId="44226B12" w14:textId="0620E42B" w:rsidR="001A6DD6" w:rsidRPr="00C340A7" w:rsidRDefault="005E6B11" w:rsidP="00C340A7">
      <w:pPr>
        <w:spacing w:after="160"/>
        <w:rPr>
          <w:i/>
          <w:iCs/>
          <w:color w:val="408479" w:themeColor="accent2" w:themeTint="BF"/>
          <w:szCs w:val="18"/>
        </w:rPr>
      </w:pPr>
      <w:r>
        <w:t>Some of</w:t>
      </w:r>
      <w:r w:rsidR="001A6DD6" w:rsidRPr="00530C0B">
        <w:t xml:space="preserve"> the risks associated with the </w:t>
      </w:r>
      <w:r w:rsidR="001A6DD6">
        <w:t>charging arrangement</w:t>
      </w:r>
      <w:r w:rsidR="001A6DD6" w:rsidRPr="00530C0B">
        <w:t xml:space="preserve"> and how we will manage these risks</w:t>
      </w:r>
      <w:r>
        <w:t xml:space="preserve"> are </w:t>
      </w:r>
      <w:r w:rsidR="00DD28D8">
        <w:t>presented</w:t>
      </w:r>
      <w:r>
        <w:t xml:space="preserve"> </w:t>
      </w:r>
      <w:r w:rsidR="00DD28D8">
        <w:t xml:space="preserve">on </w:t>
      </w:r>
      <w:r w:rsidR="00DD28D8">
        <w:fldChar w:fldCharType="begin"/>
      </w:r>
      <w:r w:rsidR="00DD28D8">
        <w:instrText xml:space="preserve"> REF _Ref116297063 \h </w:instrText>
      </w:r>
      <w:r w:rsidR="00DD28D8">
        <w:fldChar w:fldCharType="separate"/>
      </w:r>
      <w:r w:rsidR="00AF29EE">
        <w:t xml:space="preserve">Table </w:t>
      </w:r>
      <w:r w:rsidR="00AF29EE">
        <w:rPr>
          <w:noProof/>
        </w:rPr>
        <w:t>14</w:t>
      </w:r>
      <w:r w:rsidR="00DD28D8">
        <w:fldChar w:fldCharType="end"/>
      </w:r>
      <w:r w:rsidR="00D94AA7">
        <w:t xml:space="preserve"> on the following page</w:t>
      </w:r>
      <w:r w:rsidR="00DD28D8">
        <w:t>.</w:t>
      </w:r>
    </w:p>
    <w:p w14:paraId="695AB819" w14:textId="77777777" w:rsidR="00D94AA7" w:rsidRDefault="00D94AA7">
      <w:pPr>
        <w:spacing w:after="160"/>
        <w:rPr>
          <w:i/>
          <w:iCs/>
          <w:color w:val="408479" w:themeColor="accent2" w:themeTint="BF"/>
          <w:szCs w:val="18"/>
        </w:rPr>
      </w:pPr>
      <w:bookmarkStart w:id="41" w:name="_Ref116297063"/>
      <w:r>
        <w:br w:type="page"/>
      </w:r>
    </w:p>
    <w:p w14:paraId="6912F66E" w14:textId="0C834706" w:rsidR="00AC723C" w:rsidRDefault="00AC723C" w:rsidP="00D65CF9">
      <w:pPr>
        <w:pStyle w:val="Caption"/>
      </w:pPr>
      <w:r>
        <w:lastRenderedPageBreak/>
        <w:t xml:space="preserve">Table </w:t>
      </w:r>
      <w:fldSimple w:instr=" SEQ Table \* ARABIC ">
        <w:r w:rsidR="00AF29EE">
          <w:rPr>
            <w:noProof/>
          </w:rPr>
          <w:t>14</w:t>
        </w:r>
      </w:fldSimple>
      <w:bookmarkEnd w:id="41"/>
      <w:r>
        <w:t xml:space="preserve">: </w:t>
      </w:r>
      <w:r w:rsidRPr="00173CEE">
        <w:t>Potential risks an</w:t>
      </w:r>
      <w:r>
        <w:t>d management with cost recovery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1A6DD6" w:rsidRPr="00B26208" w14:paraId="3A90E03D" w14:textId="77777777" w:rsidTr="006E214B">
        <w:tc>
          <w:tcPr>
            <w:tcW w:w="3964" w:type="dxa"/>
            <w:tcBorders>
              <w:top w:val="single" w:sz="8" w:space="0" w:color="auto"/>
              <w:bottom w:val="single" w:sz="8" w:space="0" w:color="auto"/>
            </w:tcBorders>
            <w:vAlign w:val="center"/>
          </w:tcPr>
          <w:p w14:paraId="7CD0335E" w14:textId="77777777" w:rsidR="001A6DD6" w:rsidRPr="00D65CF9" w:rsidRDefault="001A6DD6" w:rsidP="00D65CF9">
            <w:pPr>
              <w:pStyle w:val="TableSpacing"/>
              <w:rPr>
                <w:b/>
              </w:rPr>
            </w:pPr>
            <w:r w:rsidRPr="00D65CF9">
              <w:rPr>
                <w:b/>
              </w:rPr>
              <w:t>Risk</w:t>
            </w:r>
          </w:p>
        </w:tc>
        <w:tc>
          <w:tcPr>
            <w:tcW w:w="5052" w:type="dxa"/>
            <w:tcBorders>
              <w:top w:val="single" w:sz="8" w:space="0" w:color="auto"/>
              <w:bottom w:val="single" w:sz="8" w:space="0" w:color="auto"/>
            </w:tcBorders>
            <w:vAlign w:val="center"/>
          </w:tcPr>
          <w:p w14:paraId="5A4F9841" w14:textId="77777777" w:rsidR="001A6DD6" w:rsidRPr="00D65CF9" w:rsidRDefault="001A6DD6" w:rsidP="00D65CF9">
            <w:pPr>
              <w:pStyle w:val="TableSpacing"/>
              <w:ind w:left="57"/>
              <w:rPr>
                <w:b/>
              </w:rPr>
            </w:pPr>
            <w:r w:rsidRPr="00D65CF9">
              <w:rPr>
                <w:b/>
              </w:rPr>
              <w:t>Management</w:t>
            </w:r>
          </w:p>
        </w:tc>
      </w:tr>
      <w:tr w:rsidR="001A6DD6" w:rsidRPr="00B26208" w14:paraId="3C17BE83" w14:textId="77777777" w:rsidTr="006E214B">
        <w:trPr>
          <w:trHeight w:val="932"/>
        </w:trPr>
        <w:tc>
          <w:tcPr>
            <w:tcW w:w="3964" w:type="dxa"/>
            <w:tcBorders>
              <w:top w:val="single" w:sz="8" w:space="0" w:color="auto"/>
              <w:bottom w:val="single" w:sz="8" w:space="0" w:color="auto"/>
            </w:tcBorders>
          </w:tcPr>
          <w:p w14:paraId="62F749D7" w14:textId="77777777" w:rsidR="001A6DD6" w:rsidRPr="00B26208" w:rsidRDefault="001A6DD6" w:rsidP="00D65CF9">
            <w:r>
              <w:t xml:space="preserve">The regulated community is not aware of, does not plan for or does not support, the future proposed implementation of cost recovery </w:t>
            </w:r>
          </w:p>
        </w:tc>
        <w:tc>
          <w:tcPr>
            <w:tcW w:w="5052" w:type="dxa"/>
            <w:tcBorders>
              <w:top w:val="single" w:sz="8" w:space="0" w:color="auto"/>
              <w:bottom w:val="single" w:sz="8" w:space="0" w:color="auto"/>
            </w:tcBorders>
          </w:tcPr>
          <w:p w14:paraId="43D8BA76" w14:textId="77777777" w:rsidR="001A6DD6" w:rsidRDefault="001A6DD6" w:rsidP="00D65CF9">
            <w:pPr>
              <w:ind w:left="57"/>
            </w:pPr>
            <w:r w:rsidRPr="00C9588E">
              <w:t xml:space="preserve">The </w:t>
            </w:r>
            <w:r>
              <w:t>d</w:t>
            </w:r>
            <w:r w:rsidRPr="00C9588E">
              <w:t xml:space="preserve">epartment will </w:t>
            </w:r>
            <w:r>
              <w:t xml:space="preserve">continue to </w:t>
            </w:r>
            <w:r w:rsidRPr="00C9588E">
              <w:t xml:space="preserve">engage with the current and anticipated regulated community to ensure they are aware of implementation of full cost recovery from 1 July 2023. </w:t>
            </w:r>
          </w:p>
          <w:p w14:paraId="0941CB0F" w14:textId="70FEFEC9" w:rsidR="00BA057E" w:rsidRPr="004211C9" w:rsidRDefault="001A6DD6" w:rsidP="00D65CF9">
            <w:pPr>
              <w:ind w:left="57"/>
            </w:pPr>
            <w:r>
              <w:t xml:space="preserve">The department is releasing the consultation paper, and will release a CRIS, to provide industry with ample time to prepare for these changes.  </w:t>
            </w:r>
            <w:r w:rsidRPr="004211C9">
              <w:t xml:space="preserve"> </w:t>
            </w:r>
          </w:p>
        </w:tc>
      </w:tr>
      <w:tr w:rsidR="001A6DD6" w:rsidRPr="00B26208" w14:paraId="72107F5E" w14:textId="77777777" w:rsidTr="003A47D1">
        <w:trPr>
          <w:trHeight w:val="1191"/>
        </w:trPr>
        <w:tc>
          <w:tcPr>
            <w:tcW w:w="3964" w:type="dxa"/>
            <w:tcBorders>
              <w:top w:val="single" w:sz="8" w:space="0" w:color="auto"/>
              <w:bottom w:val="single" w:sz="8" w:space="0" w:color="auto"/>
            </w:tcBorders>
          </w:tcPr>
          <w:p w14:paraId="75F48D0A" w14:textId="77777777" w:rsidR="001A6DD6" w:rsidRPr="00A70347" w:rsidRDefault="001A6DD6" w:rsidP="00D65CF9">
            <w:r w:rsidRPr="00A70347">
              <w:t>The actual demand is different to the expected demand</w:t>
            </w:r>
          </w:p>
        </w:tc>
        <w:tc>
          <w:tcPr>
            <w:tcW w:w="5052" w:type="dxa"/>
            <w:tcBorders>
              <w:top w:val="single" w:sz="8" w:space="0" w:color="auto"/>
              <w:bottom w:val="single" w:sz="8" w:space="0" w:color="auto"/>
            </w:tcBorders>
          </w:tcPr>
          <w:p w14:paraId="41D3B696" w14:textId="77777777" w:rsidR="001A6DD6" w:rsidRPr="00A70347" w:rsidRDefault="001A6DD6" w:rsidP="00D65CF9">
            <w:pPr>
              <w:ind w:left="57"/>
            </w:pPr>
            <w:r w:rsidRPr="00A70347">
              <w:t xml:space="preserve">The </w:t>
            </w:r>
            <w:r>
              <w:t>d</w:t>
            </w:r>
            <w:r w:rsidRPr="00A70347">
              <w:t>epartment will regularly review the forecast demand and compare this to real life data</w:t>
            </w:r>
            <w:r>
              <w:t xml:space="preserve">. </w:t>
            </w:r>
            <w:r w:rsidRPr="00363C3D">
              <w:t>This will be considered in the annual review of the CRIS.</w:t>
            </w:r>
          </w:p>
        </w:tc>
      </w:tr>
      <w:tr w:rsidR="001A6DD6" w:rsidRPr="00B26208" w14:paraId="4C371B3E" w14:textId="77777777" w:rsidTr="00D65CF9">
        <w:trPr>
          <w:trHeight w:val="122"/>
        </w:trPr>
        <w:tc>
          <w:tcPr>
            <w:tcW w:w="3964" w:type="dxa"/>
            <w:tcBorders>
              <w:top w:val="single" w:sz="8" w:space="0" w:color="auto"/>
              <w:bottom w:val="single" w:sz="8" w:space="0" w:color="auto"/>
            </w:tcBorders>
          </w:tcPr>
          <w:p w14:paraId="7DF3220B" w14:textId="77777777" w:rsidR="001A6DD6" w:rsidRPr="00A70347" w:rsidRDefault="001A6DD6" w:rsidP="00D65CF9">
            <w:r w:rsidRPr="00363C3D">
              <w:t>The cost of fees and levy encourage some to operate outside of the regulatory framework, resulting in containers being turned back from destination countries.</w:t>
            </w:r>
          </w:p>
        </w:tc>
        <w:tc>
          <w:tcPr>
            <w:tcW w:w="5052" w:type="dxa"/>
            <w:tcBorders>
              <w:top w:val="single" w:sz="8" w:space="0" w:color="auto"/>
              <w:bottom w:val="single" w:sz="8" w:space="0" w:color="auto"/>
            </w:tcBorders>
          </w:tcPr>
          <w:p w14:paraId="5FBF629D" w14:textId="550098EE" w:rsidR="001A6DD6" w:rsidRPr="00A70347" w:rsidRDefault="001A6DD6" w:rsidP="00D65CF9">
            <w:pPr>
              <w:ind w:left="57"/>
            </w:pPr>
            <w:r w:rsidRPr="00363C3D">
              <w:t xml:space="preserve">There are substantial penalties for illegal activity </w:t>
            </w:r>
            <w:r w:rsidR="00D94AA7">
              <w:br/>
            </w:r>
            <w:r w:rsidRPr="00363C3D">
              <w:t xml:space="preserve">(up to 5 years imprisonment for </w:t>
            </w:r>
            <w:r>
              <w:t>fault-based offences</w:t>
            </w:r>
            <w:r w:rsidRPr="00363C3D">
              <w:t xml:space="preserve"> and </w:t>
            </w:r>
            <w:r>
              <w:t>civil penalties of up to 600 penalty units</w:t>
            </w:r>
            <w:r w:rsidRPr="00363C3D">
              <w:t xml:space="preserve">) </w:t>
            </w:r>
            <w:r w:rsidR="00D94AA7">
              <w:br/>
            </w:r>
            <w:r w:rsidRPr="00363C3D">
              <w:t xml:space="preserve">and </w:t>
            </w:r>
            <w:r w:rsidR="005E6B11">
              <w:t>application fees and</w:t>
            </w:r>
            <w:r w:rsidR="005E6B11" w:rsidRPr="00363C3D">
              <w:t xml:space="preserve"> </w:t>
            </w:r>
            <w:r w:rsidRPr="00363C3D">
              <w:t xml:space="preserve">charges will still represent a small proportion of the costs of collecting, </w:t>
            </w:r>
            <w:r>
              <w:t xml:space="preserve">processing and </w:t>
            </w:r>
            <w:r w:rsidRPr="00363C3D">
              <w:t>shipping</w:t>
            </w:r>
            <w:r>
              <w:t xml:space="preserve"> </w:t>
            </w:r>
            <w:r w:rsidR="007B6DB5">
              <w:t>regulated material</w:t>
            </w:r>
            <w:r w:rsidRPr="00363C3D">
              <w:t>.</w:t>
            </w:r>
          </w:p>
        </w:tc>
      </w:tr>
    </w:tbl>
    <w:p w14:paraId="04F39FD6" w14:textId="77777777" w:rsidR="001B1C3C" w:rsidRPr="00AB7156" w:rsidRDefault="001B1C3C" w:rsidP="00D65CF9">
      <w:pPr>
        <w:pStyle w:val="Heading1"/>
      </w:pPr>
      <w:bookmarkStart w:id="42" w:name="_Toc116383713"/>
      <w:r w:rsidRPr="00AB7156">
        <w:t>Next Steps</w:t>
      </w:r>
      <w:bookmarkEnd w:id="42"/>
    </w:p>
    <w:p w14:paraId="01AFC11A" w14:textId="3E47FC76" w:rsidR="002F6F50" w:rsidRPr="00AB7156" w:rsidRDefault="00A1682A" w:rsidP="00D65CF9">
      <w:r w:rsidRPr="00AB7156">
        <w:t xml:space="preserve">Consultation on this paper is open </w:t>
      </w:r>
      <w:r w:rsidR="00FB63F3">
        <w:t xml:space="preserve">until </w:t>
      </w:r>
      <w:r w:rsidR="00CE560D">
        <w:t>12</w:t>
      </w:r>
      <w:r w:rsidR="00FB63F3" w:rsidRPr="00CC5816">
        <w:t xml:space="preserve"> December 202</w:t>
      </w:r>
      <w:r w:rsidR="00624412" w:rsidRPr="00CC5816">
        <w:t>2</w:t>
      </w:r>
      <w:r w:rsidR="001B1C3C" w:rsidRPr="00AB7156">
        <w:t>. Within the consultation period, stakeholders are encouraged to provide the department feedback on the costing and levy models</w:t>
      </w:r>
      <w:r w:rsidR="002F6F50" w:rsidRPr="00AB7156">
        <w:t xml:space="preserve">, </w:t>
      </w:r>
      <w:r w:rsidR="00D94AA7">
        <w:br/>
      </w:r>
      <w:r w:rsidR="002F6F50" w:rsidRPr="00AB7156">
        <w:t xml:space="preserve">as detailed in the </w:t>
      </w:r>
      <w:hyperlink w:anchor="_How_to_submit" w:history="1">
        <w:r w:rsidR="002F6F50" w:rsidRPr="00AB7156">
          <w:rPr>
            <w:rStyle w:val="Hyperlink"/>
            <w:i/>
            <w:iCs/>
          </w:rPr>
          <w:t>How to Submit Feedback</w:t>
        </w:r>
      </w:hyperlink>
      <w:r w:rsidR="002F6F50" w:rsidRPr="00AB7156">
        <w:t xml:space="preserve"> section above</w:t>
      </w:r>
      <w:r w:rsidR="001B1C3C" w:rsidRPr="00AB7156">
        <w:t xml:space="preserve">. </w:t>
      </w:r>
    </w:p>
    <w:p w14:paraId="739EBFF3" w14:textId="5E12CEA7" w:rsidR="00DA2736" w:rsidRPr="00AB7156" w:rsidRDefault="00DA2736" w:rsidP="00D65CF9">
      <w:r w:rsidRPr="00AB7156">
        <w:t>Should you wish to meet with</w:t>
      </w:r>
      <w:r w:rsidR="00E008FD" w:rsidRPr="00AB7156">
        <w:t xml:space="preserve"> a</w:t>
      </w:r>
      <w:r w:rsidRPr="00AB7156">
        <w:t xml:space="preserve"> representative of the department</w:t>
      </w:r>
      <w:r w:rsidR="002F6F50" w:rsidRPr="00AB7156">
        <w:t xml:space="preserve"> to discuss this paper</w:t>
      </w:r>
      <w:r w:rsidRPr="00AB7156">
        <w:t xml:space="preserve">, please email </w:t>
      </w:r>
      <w:hyperlink r:id="rId24" w:history="1">
        <w:r w:rsidR="00CC5816" w:rsidRPr="00062B2D">
          <w:rPr>
            <w:rStyle w:val="Hyperlink"/>
          </w:rPr>
          <w:t>ExportWaste@awe.gov.au</w:t>
        </w:r>
      </w:hyperlink>
      <w:r w:rsidRPr="00AB7156">
        <w:t>.</w:t>
      </w:r>
    </w:p>
    <w:p w14:paraId="6CA445D0" w14:textId="2858DE2D" w:rsidR="002F6F50" w:rsidRPr="00AB7156" w:rsidRDefault="00DA2736" w:rsidP="00D65CF9">
      <w:r w:rsidRPr="00AB7156">
        <w:t xml:space="preserve">Once the consultation period has closed, the department will consider the survey responses and submissions </w:t>
      </w:r>
      <w:r w:rsidR="00BA057E">
        <w:t xml:space="preserve">and </w:t>
      </w:r>
      <w:r w:rsidRPr="00AB7156">
        <w:t xml:space="preserve">amend the models where necessary. </w:t>
      </w:r>
      <w:r w:rsidR="00BA057E">
        <w:t xml:space="preserve">Any </w:t>
      </w:r>
      <w:r w:rsidRPr="00AB7156">
        <w:t xml:space="preserve">amendments will be reflected in </w:t>
      </w:r>
      <w:r w:rsidR="007D0A96">
        <w:t>the CRIS,</w:t>
      </w:r>
      <w:r w:rsidRPr="00AB7156">
        <w:t xml:space="preserve"> which will be released in early-2023</w:t>
      </w:r>
      <w:r w:rsidR="002F6F50" w:rsidRPr="00AB7156">
        <w:t xml:space="preserve"> after ministerial approval</w:t>
      </w:r>
      <w:r w:rsidRPr="00AB7156">
        <w:t xml:space="preserve">. </w:t>
      </w:r>
    </w:p>
    <w:p w14:paraId="6300763E" w14:textId="64A24BDB" w:rsidR="00A10A49" w:rsidRPr="00AB7156" w:rsidRDefault="002F6F50" w:rsidP="00D65CF9">
      <w:r w:rsidRPr="00AB7156">
        <w:t xml:space="preserve">Although there is legislative authority to recover costs, the department will be required to </w:t>
      </w:r>
      <w:r w:rsidR="00A10A49" w:rsidRPr="00AB7156">
        <w:t>implement</w:t>
      </w:r>
      <w:r w:rsidRPr="00AB7156">
        <w:t xml:space="preserve"> regulations and rules</w:t>
      </w:r>
      <w:r w:rsidR="00A10A49" w:rsidRPr="00AB7156">
        <w:t xml:space="preserve"> for the administration of the cost recovery</w:t>
      </w:r>
      <w:r w:rsidR="00BB571F" w:rsidRPr="00AB7156">
        <w:t xml:space="preserve">. The drafting process will </w:t>
      </w:r>
      <w:r w:rsidR="00E008FD" w:rsidRPr="00AB7156">
        <w:t>commence</w:t>
      </w:r>
      <w:r w:rsidR="00BB571F" w:rsidRPr="00AB7156">
        <w:t xml:space="preserve"> in </w:t>
      </w:r>
      <w:r w:rsidR="00761EBE">
        <w:t>early</w:t>
      </w:r>
      <w:r w:rsidR="00761EBE" w:rsidRPr="00AB7156">
        <w:t xml:space="preserve"> </w:t>
      </w:r>
      <w:r w:rsidR="00BB571F" w:rsidRPr="00AB7156">
        <w:t xml:space="preserve">2023 to take effect by July 2023.  </w:t>
      </w:r>
    </w:p>
    <w:p w14:paraId="68299783" w14:textId="03ECA48C" w:rsidR="001A6DD6" w:rsidRPr="00AB7156" w:rsidRDefault="00A10A49" w:rsidP="00D65CF9">
      <w:pPr>
        <w:rPr>
          <w:rFonts w:asciiTheme="majorHAnsi" w:eastAsiaTheme="majorEastAsia" w:hAnsiTheme="majorHAnsi" w:cstheme="majorBidi"/>
          <w:color w:val="083A42" w:themeColor="text2"/>
          <w:sz w:val="32"/>
          <w:szCs w:val="40"/>
        </w:rPr>
      </w:pPr>
      <w:r w:rsidRPr="00AB7156">
        <w:t xml:space="preserve">The department will continue to update stakeholders on the progress of the cost recovery implementation. Should you have any questions in the meantime, please do not hesitate to contact </w:t>
      </w:r>
      <w:hyperlink r:id="rId25" w:history="1">
        <w:r w:rsidR="00CC5816" w:rsidRPr="00062B2D">
          <w:rPr>
            <w:rStyle w:val="Hyperlink"/>
          </w:rPr>
          <w:t>ExportWaste@awe.gov.au</w:t>
        </w:r>
      </w:hyperlink>
      <w:r w:rsidRPr="00AB7156">
        <w:t xml:space="preserve">. </w:t>
      </w:r>
      <w:r w:rsidR="001A6DD6" w:rsidRPr="00AB7156">
        <w:br w:type="page"/>
      </w:r>
    </w:p>
    <w:p w14:paraId="1EA679A6" w14:textId="77777777" w:rsidR="001A6DD6" w:rsidRPr="00AB7156" w:rsidRDefault="001A6DD6" w:rsidP="00D7571B">
      <w:pPr>
        <w:pStyle w:val="Heading2"/>
      </w:pPr>
      <w:bookmarkStart w:id="43" w:name="_Toc116383714"/>
      <w:r w:rsidRPr="00AB7156">
        <w:lastRenderedPageBreak/>
        <w:t xml:space="preserve">Attachment A: </w:t>
      </w:r>
      <w:bookmarkStart w:id="44" w:name="_Hlk116031054"/>
      <w:r w:rsidRPr="00AB7156">
        <w:t>Outputs and business processes of the regulatory charging activity</w:t>
      </w:r>
      <w:bookmarkEnd w:id="43"/>
      <w:bookmarkEnd w:id="44"/>
    </w:p>
    <w:p w14:paraId="4B9607DA" w14:textId="77777777" w:rsidR="001A6DD6" w:rsidRPr="00B26208" w:rsidRDefault="001A6DD6" w:rsidP="00D65CF9">
      <w:pPr>
        <w:rPr>
          <w:rFonts w:cstheme="minorHAnsi"/>
        </w:rPr>
      </w:pPr>
      <w:r w:rsidRPr="00AB7156">
        <w:t>The regulatory activities to meet the policy objective have been grouped</w:t>
      </w:r>
      <w:r>
        <w:t xml:space="preserve"> into the following categories</w:t>
      </w:r>
      <w:r>
        <w:rPr>
          <w:rFonts w:cstheme="minorHAnsi"/>
        </w:rPr>
        <w:t>:</w:t>
      </w:r>
    </w:p>
    <w:p w14:paraId="55B81B1F" w14:textId="77777777" w:rsidR="001A6DD6" w:rsidRDefault="001A6DD6" w:rsidP="00D65CF9">
      <w:pPr>
        <w:pStyle w:val="Bulletpoints"/>
      </w:pPr>
      <w:r w:rsidRPr="00B26208">
        <w:t xml:space="preserve">Program management and administration – administrative activities that support </w:t>
      </w:r>
      <w:r>
        <w:t>the Department</w:t>
      </w:r>
      <w:r w:rsidRPr="00B26208">
        <w:t xml:space="preserve"> to deliver </w:t>
      </w:r>
      <w:r>
        <w:t xml:space="preserve">and maintain </w:t>
      </w:r>
      <w:r w:rsidRPr="00B26208">
        <w:t>the licencing and declaration scheme.</w:t>
      </w:r>
    </w:p>
    <w:p w14:paraId="12F567CE" w14:textId="77777777" w:rsidR="001A6DD6" w:rsidRPr="003B4E83" w:rsidRDefault="001A6DD6" w:rsidP="00D65CF9">
      <w:pPr>
        <w:pStyle w:val="Bulletpoints"/>
      </w:pPr>
      <w:r w:rsidRPr="00B26208">
        <w:t>Assessment – activities provided directly to an individual, business or organisation to assess applications of export licences.</w:t>
      </w:r>
    </w:p>
    <w:p w14:paraId="6B9C00C2" w14:textId="77777777" w:rsidR="001A6DD6" w:rsidRPr="00B26208" w:rsidRDefault="001A6DD6" w:rsidP="00D65CF9">
      <w:pPr>
        <w:pStyle w:val="Bulletpoints"/>
      </w:pPr>
      <w:r w:rsidRPr="00B26208">
        <w:t>Assurance – activities to mitigate risk of non-compliance and to support the continual improvement of the design of the regulatory scheme.</w:t>
      </w:r>
    </w:p>
    <w:p w14:paraId="5AD5F1C9" w14:textId="77777777" w:rsidR="001A6DD6" w:rsidRPr="00B26208" w:rsidRDefault="001A6DD6" w:rsidP="00D65CF9">
      <w:pPr>
        <w:pStyle w:val="Bulletpoints"/>
      </w:pPr>
      <w:r w:rsidRPr="00B26208">
        <w:t>Incident management – activities that respond to incidents concerning alleged breaches of the scheme.</w:t>
      </w:r>
    </w:p>
    <w:p w14:paraId="5CA987A8" w14:textId="77777777" w:rsidR="001A6DD6" w:rsidRDefault="001A6DD6" w:rsidP="00D65CF9">
      <w:r>
        <w:t>F</w:t>
      </w:r>
      <w:r w:rsidRPr="00B26208">
        <w:t xml:space="preserve">urther </w:t>
      </w:r>
      <w:r>
        <w:t>description</w:t>
      </w:r>
      <w:r w:rsidRPr="00B26208">
        <w:t xml:space="preserve"> of the activities costed to deliver the scheme are </w:t>
      </w:r>
      <w:r>
        <w:t>below.</w:t>
      </w:r>
    </w:p>
    <w:p w14:paraId="6EC6177D" w14:textId="77777777" w:rsidR="001A6DD6" w:rsidRPr="00D31052" w:rsidRDefault="001A6DD6" w:rsidP="00D7571B">
      <w:pPr>
        <w:pStyle w:val="Heading4"/>
      </w:pPr>
      <w:r>
        <w:t>Program management and administration</w:t>
      </w:r>
    </w:p>
    <w:p w14:paraId="407FFFFC" w14:textId="77777777" w:rsidR="001A6DD6" w:rsidRPr="007B4D9C" w:rsidRDefault="001A6DD6" w:rsidP="00D65CF9">
      <w:pPr>
        <w:pStyle w:val="Heading5"/>
      </w:pPr>
      <w:r w:rsidRPr="007B4D9C">
        <w:t>Policy and instructional materials</w:t>
      </w:r>
    </w:p>
    <w:p w14:paraId="098C3DD8" w14:textId="45533AD9" w:rsidR="001A6DD6" w:rsidRDefault="001A6DD6" w:rsidP="00D65CF9">
      <w:r>
        <w:t>The regulation of waste exports has been introduced in phases. When cost recovery commences</w:t>
      </w:r>
      <w:r w:rsidR="00D94AA7">
        <w:t>,</w:t>
      </w:r>
      <w:r>
        <w:t xml:space="preserve"> glass, plastics and tyres will have been regulated for at least a year, with policies and procedures in place. Costed activities for these materials include ongoing updates and improvements. </w:t>
      </w:r>
    </w:p>
    <w:p w14:paraId="642D2C08" w14:textId="77777777" w:rsidR="001A6DD6" w:rsidRDefault="001A6DD6" w:rsidP="00D65CF9">
      <w:r>
        <w:t xml:space="preserve">The regulation of paper and cardboard will commence from 1 July 2024. Costed activities for this include development of the rules and updates to the legislation, policy support and procedure design. Once established, there will be ongoing maintenance and improvement of policies and procedures. </w:t>
      </w:r>
    </w:p>
    <w:p w14:paraId="33FF2153" w14:textId="77777777" w:rsidR="001A6DD6" w:rsidRDefault="001A6DD6" w:rsidP="00D65CF9">
      <w:r>
        <w:t xml:space="preserve">Costed activities on an ongoing basis include ongoing updates and amendments to the legislation, reviewing charging arrangements and developing new rules as needed. </w:t>
      </w:r>
    </w:p>
    <w:p w14:paraId="5DAE2EA3" w14:textId="77777777" w:rsidR="001A6DD6" w:rsidRPr="007B4D9C" w:rsidRDefault="001A6DD6" w:rsidP="00D65CF9">
      <w:pPr>
        <w:pStyle w:val="Heading5"/>
      </w:pPr>
      <w:r w:rsidRPr="007B4D9C">
        <w:t>Workforce and business management</w:t>
      </w:r>
    </w:p>
    <w:p w14:paraId="7E4019F9" w14:textId="77777777" w:rsidR="001A6DD6" w:rsidRDefault="001A6DD6" w:rsidP="00D65CF9">
      <w:pPr>
        <w:rPr>
          <w:rFonts w:cstheme="minorHAnsi"/>
        </w:rPr>
      </w:pPr>
      <w:r w:rsidRPr="001548AF">
        <w:t>Most administrative and</w:t>
      </w:r>
      <w:r>
        <w:t xml:space="preserve"> staff</w:t>
      </w:r>
      <w:r w:rsidRPr="001548AF">
        <w:t xml:space="preserve"> overhead costs are included in the on-cost component for staff</w:t>
      </w:r>
      <w:r>
        <w:t xml:space="preserve"> (which includes costs for</w:t>
      </w:r>
      <w:r w:rsidRPr="000A4B82">
        <w:t xml:space="preserve"> training, superannuation and leave</w:t>
      </w:r>
      <w:r>
        <w:t>)</w:t>
      </w:r>
      <w:r w:rsidRPr="001548AF">
        <w:t xml:space="preserve">. This output includes administrative costs that are not covered in on-costs, or explicitly </w:t>
      </w:r>
      <w:r w:rsidRPr="007B4D9C">
        <w:rPr>
          <w:rFonts w:cstheme="minorHAnsi"/>
        </w:rPr>
        <w:t>included in other outputs. This includes recruitment of new staff and training in regulatory system o</w:t>
      </w:r>
      <w:r>
        <w:rPr>
          <w:rFonts w:cstheme="minorHAnsi"/>
        </w:rPr>
        <w:t>perations.</w:t>
      </w:r>
    </w:p>
    <w:p w14:paraId="7C3161D6" w14:textId="77777777" w:rsidR="001A6DD6" w:rsidRPr="00566764" w:rsidRDefault="001A6DD6" w:rsidP="00D65CF9">
      <w:r w:rsidRPr="007B4D9C">
        <w:rPr>
          <w:rFonts w:cstheme="minorHAnsi"/>
        </w:rPr>
        <w:t xml:space="preserve">Establishing standard operating </w:t>
      </w:r>
      <w:r>
        <w:rPr>
          <w:rFonts w:cstheme="minorHAnsi"/>
        </w:rPr>
        <w:t>procedures</w:t>
      </w:r>
      <w:r w:rsidRPr="007B4D9C">
        <w:rPr>
          <w:rFonts w:cstheme="minorHAnsi"/>
        </w:rPr>
        <w:t xml:space="preserve"> will increase </w:t>
      </w:r>
      <w:r>
        <w:rPr>
          <w:rFonts w:cstheme="minorHAnsi"/>
        </w:rPr>
        <w:t xml:space="preserve">the </w:t>
      </w:r>
      <w:r w:rsidRPr="007B4D9C">
        <w:rPr>
          <w:rFonts w:cstheme="minorHAnsi"/>
        </w:rPr>
        <w:t>efficiency of regulatory activities</w:t>
      </w:r>
      <w:r w:rsidRPr="001548AF">
        <w:t xml:space="preserve"> and </w:t>
      </w:r>
      <w:r>
        <w:t xml:space="preserve">will </w:t>
      </w:r>
      <w:r w:rsidRPr="001548AF">
        <w:t xml:space="preserve">result in consistent decision-making. </w:t>
      </w:r>
      <w:r>
        <w:t>Specific activities include developing application forms and developing and maintaining standard operating procedures for internal and external stakeholders.</w:t>
      </w:r>
    </w:p>
    <w:p w14:paraId="0D833CAA" w14:textId="77777777" w:rsidR="001A6DD6" w:rsidRPr="007B4D9C" w:rsidRDefault="001A6DD6" w:rsidP="00D65CF9">
      <w:pPr>
        <w:pStyle w:val="Heading5"/>
      </w:pPr>
      <w:r w:rsidRPr="007B4D9C">
        <w:t>Business system administration</w:t>
      </w:r>
    </w:p>
    <w:p w14:paraId="7EBB0B36" w14:textId="77777777" w:rsidR="001A6DD6" w:rsidRDefault="001A6DD6" w:rsidP="00D65CF9">
      <w:r w:rsidRPr="001548AF">
        <w:t xml:space="preserve">This output contains a broad range of activities needed to administer the scheme. </w:t>
      </w:r>
      <w:r>
        <w:t>This includes costs associated with:</w:t>
      </w:r>
    </w:p>
    <w:p w14:paraId="68AA256E" w14:textId="77777777" w:rsidR="001A6DD6" w:rsidRDefault="001A6DD6" w:rsidP="00D65CF9">
      <w:pPr>
        <w:pStyle w:val="Bulletpoints"/>
      </w:pPr>
      <w:r>
        <w:t>managing application workflow and tracking systems</w:t>
      </w:r>
    </w:p>
    <w:p w14:paraId="626ACEE4" w14:textId="77777777" w:rsidR="001A6DD6" w:rsidRPr="008A25D0" w:rsidRDefault="001A6DD6" w:rsidP="00D65CF9">
      <w:pPr>
        <w:pStyle w:val="Bulletpoints"/>
      </w:pPr>
      <w:r w:rsidRPr="008A25D0">
        <w:lastRenderedPageBreak/>
        <w:t>internal, regulatory and international reporting requirements</w:t>
      </w:r>
    </w:p>
    <w:p w14:paraId="368FEA2E" w14:textId="5CDDE2B8" w:rsidR="001A6DD6" w:rsidRPr="008A25D0" w:rsidRDefault="001A6DD6" w:rsidP="00D65CF9">
      <w:pPr>
        <w:pStyle w:val="Bulletpoints"/>
      </w:pPr>
      <w:r w:rsidRPr="008A25D0">
        <w:t>IT system maintenance and building additional system capacity for plastic, tyres and paper</w:t>
      </w:r>
    </w:p>
    <w:p w14:paraId="4A17A906" w14:textId="77777777" w:rsidR="001A6DD6" w:rsidRDefault="001A6DD6" w:rsidP="00D65CF9">
      <w:pPr>
        <w:pStyle w:val="Bulletpoints"/>
      </w:pPr>
      <w:r w:rsidRPr="008A25D0">
        <w:t>legal advice for legislative interpretation and drafting fees for amendments</w:t>
      </w:r>
      <w:r>
        <w:t xml:space="preserve"> to the rules </w:t>
      </w:r>
    </w:p>
    <w:p w14:paraId="08BC1B82" w14:textId="77777777" w:rsidR="001A6DD6" w:rsidRDefault="001A6DD6" w:rsidP="00D65CF9">
      <w:pPr>
        <w:pStyle w:val="Bulletpoints"/>
      </w:pPr>
      <w:r>
        <w:t xml:space="preserve">creating and maintaining </w:t>
      </w:r>
      <w:r w:rsidRPr="000A4B82">
        <w:t xml:space="preserve">Australian Harmonized Export Commodity Classification (AHECC) </w:t>
      </w:r>
      <w:r>
        <w:t>codes to streamline export data</w:t>
      </w:r>
    </w:p>
    <w:p w14:paraId="3377F2EA" w14:textId="77777777" w:rsidR="001A6DD6" w:rsidRDefault="001A6DD6" w:rsidP="00D65CF9">
      <w:pPr>
        <w:pStyle w:val="Bulletpoints"/>
      </w:pPr>
      <w:r>
        <w:t>monitoring and internal reporting of export data</w:t>
      </w:r>
    </w:p>
    <w:p w14:paraId="1BAEC6B0" w14:textId="77777777" w:rsidR="001A6DD6" w:rsidRDefault="001A6DD6" w:rsidP="00D65CF9">
      <w:pPr>
        <w:pStyle w:val="Bulletpoints"/>
      </w:pPr>
      <w:r>
        <w:t xml:space="preserve">engaging with the Australian Border Force (ABF) to ensure consistency of declaration information reported to the department and the ABF </w:t>
      </w:r>
    </w:p>
    <w:p w14:paraId="1B0912F3" w14:textId="77777777" w:rsidR="001A6DD6" w:rsidRPr="00EF340E" w:rsidRDefault="001A6DD6" w:rsidP="00D65CF9">
      <w:pPr>
        <w:pStyle w:val="Heading5"/>
      </w:pPr>
      <w:r w:rsidRPr="00EF340E">
        <w:t>Stakeholder engagement</w:t>
      </w:r>
    </w:p>
    <w:p w14:paraId="4628B2EB" w14:textId="16DE3BC3" w:rsidR="001A6DD6" w:rsidRDefault="001A6DD6" w:rsidP="00D65CF9">
      <w:r>
        <w:t xml:space="preserve">Engaging and educating stakeholders is crucial to supporting and encouraging compliance with the scheme. Investment in industry outreach and education reduces costs associated with </w:t>
      </w:r>
      <w:r w:rsidR="00695B6F">
        <w:br/>
      </w:r>
      <w:r>
        <w:t xml:space="preserve">non-compliance as the scheme grows. </w:t>
      </w:r>
      <w:r w:rsidRPr="002448AF">
        <w:t xml:space="preserve">It </w:t>
      </w:r>
      <w:r>
        <w:t xml:space="preserve">also </w:t>
      </w:r>
      <w:r w:rsidRPr="002448AF">
        <w:t>ensures the broader stakeholde</w:t>
      </w:r>
      <w:r>
        <w:t xml:space="preserve">r community such as exporters, </w:t>
      </w:r>
      <w:r w:rsidRPr="002448AF">
        <w:t>states and territories, and other government agencies have access to scheme information as needed.</w:t>
      </w:r>
      <w:r>
        <w:t xml:space="preserve"> </w:t>
      </w:r>
    </w:p>
    <w:p w14:paraId="2264B585" w14:textId="77777777" w:rsidR="001A6DD6" w:rsidRDefault="001A6DD6" w:rsidP="00D65CF9">
      <w:r>
        <w:t>Costed activities include hosting webinars to educate the community on their obligations, boosted social media presence, developing and maintaining educational guidance materials and the department’s website, and handling enquiries from stakeholders.</w:t>
      </w:r>
    </w:p>
    <w:p w14:paraId="0C94621F" w14:textId="77777777" w:rsidR="001A6DD6" w:rsidRDefault="001A6DD6" w:rsidP="00D7571B">
      <w:pPr>
        <w:pStyle w:val="Heading4"/>
      </w:pPr>
      <w:r>
        <w:t>Assessment</w:t>
      </w:r>
    </w:p>
    <w:p w14:paraId="3384F895" w14:textId="77777777" w:rsidR="001A6DD6" w:rsidRPr="007B4D9C" w:rsidRDefault="001A6DD6" w:rsidP="00D65CF9">
      <w:pPr>
        <w:pStyle w:val="Heading5"/>
      </w:pPr>
      <w:r w:rsidRPr="007B4D9C">
        <w:t>Assessing export applications</w:t>
      </w:r>
    </w:p>
    <w:p w14:paraId="0F41443F" w14:textId="77777777" w:rsidR="001A6DD6" w:rsidRDefault="001A6DD6" w:rsidP="00D65CF9">
      <w:r>
        <w:t>Assessing licence applications, including for renewals and variations, is the core regulatory activity of the scheme. Costed activities in the licence assessment process include:</w:t>
      </w:r>
    </w:p>
    <w:p w14:paraId="55E3EFBD" w14:textId="1FF6D489" w:rsidR="001A6DD6" w:rsidRDefault="001A6DD6" w:rsidP="00D65CF9">
      <w:pPr>
        <w:pStyle w:val="Bulletpoints"/>
      </w:pPr>
      <w:r>
        <w:t>ensuring the applicant has provided all necessary documents</w:t>
      </w:r>
      <w:r w:rsidR="00FE153F">
        <w:t xml:space="preserve"> through a process of applicant consultation and requests for further information</w:t>
      </w:r>
      <w:r w:rsidR="00263763">
        <w:t xml:space="preserve"> as required</w:t>
      </w:r>
    </w:p>
    <w:p w14:paraId="2471111C" w14:textId="77777777" w:rsidR="001A6DD6" w:rsidRDefault="001A6DD6" w:rsidP="00D65CF9">
      <w:pPr>
        <w:pStyle w:val="Bulletpoints"/>
      </w:pPr>
      <w:r>
        <w:t>assessing the application, including requesting further information, responding to enquiries and developing licence conditions</w:t>
      </w:r>
    </w:p>
    <w:p w14:paraId="20AA24C8" w14:textId="77777777" w:rsidR="001A6DD6" w:rsidRDefault="001A6DD6" w:rsidP="00D65CF9">
      <w:pPr>
        <w:pStyle w:val="Bulletpoints"/>
      </w:pPr>
      <w:r>
        <w:t xml:space="preserve">briefing the </w:t>
      </w:r>
      <w:r w:rsidRPr="00636ED8">
        <w:t xml:space="preserve">Minister or the delegate of the Minister </w:t>
      </w:r>
      <w:r>
        <w:t>as the decision maker and notifying the applicant of the outcome</w:t>
      </w:r>
    </w:p>
    <w:p w14:paraId="3A51DCAE" w14:textId="77777777" w:rsidR="001A6DD6" w:rsidRDefault="001A6DD6" w:rsidP="00D65CF9">
      <w:pPr>
        <w:pStyle w:val="Bulletpoints"/>
      </w:pPr>
      <w:r>
        <w:t>internal review and appeals processes</w:t>
      </w:r>
    </w:p>
    <w:p w14:paraId="718BD8BF" w14:textId="77777777" w:rsidR="001A6DD6" w:rsidRDefault="001A6DD6" w:rsidP="00D65CF9">
      <w:r>
        <w:t>The department collects data on the time taken to assess applications, to inform the development of charges to assess licence applications when cost recovery commences on 1 July 2023.</w:t>
      </w:r>
    </w:p>
    <w:p w14:paraId="3479E9AB" w14:textId="77777777" w:rsidR="001A6DD6" w:rsidRDefault="001A6DD6" w:rsidP="00D7571B">
      <w:pPr>
        <w:pStyle w:val="Heading4"/>
      </w:pPr>
      <w:r>
        <w:t>Assurance</w:t>
      </w:r>
    </w:p>
    <w:p w14:paraId="44061FC9" w14:textId="77777777" w:rsidR="001A6DD6" w:rsidRPr="007B4D9C" w:rsidRDefault="001A6DD6" w:rsidP="00D65CF9">
      <w:pPr>
        <w:pStyle w:val="Heading5"/>
      </w:pPr>
      <w:r w:rsidRPr="007B4D9C">
        <w:t>Risk management</w:t>
      </w:r>
    </w:p>
    <w:p w14:paraId="39FE339E" w14:textId="3887DB70" w:rsidR="001A6DD6" w:rsidRDefault="001A6DD6" w:rsidP="00D65CF9">
      <w:pPr>
        <w:rPr>
          <w:lang w:eastAsia="en-AU"/>
        </w:rPr>
      </w:pPr>
      <w:r w:rsidRPr="00D36B12">
        <w:rPr>
          <w:lang w:eastAsia="en-AU"/>
        </w:rPr>
        <w:t xml:space="preserve">This output contains the </w:t>
      </w:r>
      <w:r w:rsidR="00FB63F3">
        <w:rPr>
          <w:lang w:eastAsia="en-AU"/>
        </w:rPr>
        <w:t xml:space="preserve">department’s </w:t>
      </w:r>
      <w:r w:rsidRPr="00D36B12">
        <w:rPr>
          <w:lang w:eastAsia="en-AU"/>
        </w:rPr>
        <w:t>efforts to mana</w:t>
      </w:r>
      <w:r>
        <w:rPr>
          <w:lang w:eastAsia="en-AU"/>
        </w:rPr>
        <w:t xml:space="preserve">ge the risk of non-compliance. </w:t>
      </w:r>
    </w:p>
    <w:p w14:paraId="680F06D1" w14:textId="69E2A61D" w:rsidR="001A6DD6" w:rsidRDefault="001A6DD6" w:rsidP="00D65CF9">
      <w:r>
        <w:t xml:space="preserve">Compliance and enforcement activities are focused on helping regulated entities </w:t>
      </w:r>
      <w:r w:rsidRPr="000C226B">
        <w:t>understand and comply with the</w:t>
      </w:r>
      <w:r>
        <w:t xml:space="preserve"> </w:t>
      </w:r>
      <w:r w:rsidR="00695B6F">
        <w:t>A</w:t>
      </w:r>
      <w:r>
        <w:t xml:space="preserve">ct and rules, through education and outreach. </w:t>
      </w:r>
    </w:p>
    <w:p w14:paraId="238578A3" w14:textId="77777777" w:rsidR="001A6DD6" w:rsidRDefault="001A6DD6" w:rsidP="00D65CF9">
      <w:pPr>
        <w:rPr>
          <w:lang w:eastAsia="en-AU"/>
        </w:rPr>
      </w:pPr>
      <w:r>
        <w:rPr>
          <w:lang w:eastAsia="en-AU"/>
        </w:rPr>
        <w:lastRenderedPageBreak/>
        <w:t>Other risk management activities include:</w:t>
      </w:r>
    </w:p>
    <w:p w14:paraId="5271D098" w14:textId="77777777" w:rsidR="001A6DD6" w:rsidRDefault="001A6DD6" w:rsidP="00D65CF9">
      <w:pPr>
        <w:pStyle w:val="Bulletpoints"/>
        <w:rPr>
          <w:lang w:eastAsia="en-AU"/>
        </w:rPr>
      </w:pPr>
      <w:r w:rsidRPr="00A76088">
        <w:rPr>
          <w:lang w:eastAsia="en-AU"/>
        </w:rPr>
        <w:t>cross referencing our data with data from other Australian border law enforcement and intelligence agencies</w:t>
      </w:r>
    </w:p>
    <w:p w14:paraId="735C26B7" w14:textId="77777777" w:rsidR="001A6DD6" w:rsidRDefault="001A6DD6" w:rsidP="00D65CF9">
      <w:pPr>
        <w:pStyle w:val="Bulletpoints"/>
        <w:rPr>
          <w:lang w:eastAsia="en-AU"/>
        </w:rPr>
      </w:pPr>
      <w:r w:rsidRPr="00A76088">
        <w:rPr>
          <w:lang w:eastAsia="en-AU"/>
        </w:rPr>
        <w:t>auditing exporters' record keeping to ensure they are operating within their licence conditions</w:t>
      </w:r>
    </w:p>
    <w:p w14:paraId="31462FF8" w14:textId="77777777" w:rsidR="001A6DD6" w:rsidRPr="00A76088" w:rsidRDefault="001A6DD6" w:rsidP="00D65CF9">
      <w:pPr>
        <w:pStyle w:val="Bulletpoints"/>
        <w:rPr>
          <w:lang w:eastAsia="en-AU"/>
        </w:rPr>
      </w:pPr>
      <w:r>
        <w:rPr>
          <w:lang w:eastAsia="en-AU"/>
        </w:rPr>
        <w:t>i</w:t>
      </w:r>
      <w:r w:rsidRPr="00D36B12">
        <w:rPr>
          <w:lang w:eastAsia="en-AU"/>
        </w:rPr>
        <w:t xml:space="preserve">ntelligence collection on regulated </w:t>
      </w:r>
      <w:r>
        <w:rPr>
          <w:lang w:eastAsia="en-AU"/>
        </w:rPr>
        <w:t>entities</w:t>
      </w:r>
      <w:r w:rsidRPr="00D36B12">
        <w:rPr>
          <w:lang w:eastAsia="en-AU"/>
        </w:rPr>
        <w:t xml:space="preserve"> to inform audits and investigations</w:t>
      </w:r>
    </w:p>
    <w:p w14:paraId="6CAB0FBD" w14:textId="370B9D26" w:rsidR="001A6DD6" w:rsidRDefault="001A6DD6" w:rsidP="00D65CF9">
      <w:pPr>
        <w:rPr>
          <w:lang w:eastAsia="en-AU"/>
        </w:rPr>
      </w:pPr>
      <w:r>
        <w:rPr>
          <w:lang w:eastAsia="en-AU"/>
        </w:rPr>
        <w:t>These activities</w:t>
      </w:r>
      <w:r w:rsidRPr="00D36B12">
        <w:rPr>
          <w:lang w:eastAsia="en-AU"/>
        </w:rPr>
        <w:t xml:space="preserve"> inform targeted education, updates to operational policy and regulatory guidelines, and investigation and enforcement activities. </w:t>
      </w:r>
      <w:r>
        <w:rPr>
          <w:lang w:eastAsia="en-AU"/>
        </w:rPr>
        <w:t xml:space="preserve">They </w:t>
      </w:r>
      <w:r w:rsidRPr="00D36B12">
        <w:rPr>
          <w:lang w:eastAsia="en-AU"/>
        </w:rPr>
        <w:t xml:space="preserve">support continual improvement of the regulatory scheme, compliance, and regulatory outcomes. </w:t>
      </w:r>
    </w:p>
    <w:p w14:paraId="65014C2C" w14:textId="77777777" w:rsidR="001A6DD6" w:rsidRDefault="001A6DD6" w:rsidP="00D7571B">
      <w:pPr>
        <w:pStyle w:val="Heading4"/>
      </w:pPr>
      <w:bookmarkStart w:id="45" w:name="_Hlk116031043"/>
      <w:r>
        <w:t>Incident management</w:t>
      </w:r>
    </w:p>
    <w:p w14:paraId="7DD4129E" w14:textId="77777777" w:rsidR="001A6DD6" w:rsidRPr="009A3B1E" w:rsidRDefault="001A6DD6" w:rsidP="00D65CF9">
      <w:pPr>
        <w:pStyle w:val="Heading5"/>
      </w:pPr>
      <w:r w:rsidRPr="009A3B1E">
        <w:t>Investigation support and corrective action</w:t>
      </w:r>
    </w:p>
    <w:p w14:paraId="4BDB210C" w14:textId="77777777" w:rsidR="001A6DD6" w:rsidRDefault="001A6DD6" w:rsidP="00D65CF9">
      <w:r w:rsidRPr="00A6038E">
        <w:t xml:space="preserve">Compliance and enforcement </w:t>
      </w:r>
      <w:r>
        <w:t>costs</w:t>
      </w:r>
      <w:r w:rsidRPr="00A6038E">
        <w:t xml:space="preserve"> have been developed in line with similar regulatory programs the </w:t>
      </w:r>
      <w:r>
        <w:t>d</w:t>
      </w:r>
      <w:r w:rsidRPr="00A6038E">
        <w:t xml:space="preserve">epartment administers. </w:t>
      </w:r>
    </w:p>
    <w:p w14:paraId="308FA7B2" w14:textId="01654B23" w:rsidR="001A6DD6" w:rsidRDefault="001A6DD6" w:rsidP="00D65CF9">
      <w:r>
        <w:t>To verify compliance, the department monitors activities through document assessment, information and data analysis, inspections and audits, intelligence assessments</w:t>
      </w:r>
      <w:r w:rsidR="00C8084E">
        <w:t xml:space="preserve">, </w:t>
      </w:r>
      <w:r>
        <w:t xml:space="preserve">investigations and targeted operations. </w:t>
      </w:r>
    </w:p>
    <w:p w14:paraId="12212571" w14:textId="21383853" w:rsidR="001A6DD6" w:rsidRDefault="001A6DD6" w:rsidP="00D65CF9">
      <w:r>
        <w:t xml:space="preserve">Where non-compliance is detected and it is relevant to do so, the scheme will share information and conduct joint investigations with other law enforcement agencies and regulators. Costs incurred by other law enforcement agencies and regulators are not included in the incident management costs, as they are not recoverable under the </w:t>
      </w:r>
      <w:r w:rsidR="003A47D1">
        <w:t>Charging Framework</w:t>
      </w:r>
      <w:r>
        <w:t xml:space="preserve">. </w:t>
      </w:r>
    </w:p>
    <w:bookmarkEnd w:id="45"/>
    <w:bookmarkEnd w:id="3"/>
    <w:bookmarkEnd w:id="2"/>
    <w:bookmarkEnd w:id="1"/>
    <w:bookmarkEnd w:id="0"/>
    <w:p w14:paraId="28738D40" w14:textId="76F7FDDC" w:rsidR="00713497" w:rsidRPr="004035C1" w:rsidRDefault="00713497" w:rsidP="00D65CF9"/>
    <w:sectPr w:rsidR="00713497" w:rsidRPr="004035C1" w:rsidSect="000613B2">
      <w:headerReference w:type="even" r:id="rId26"/>
      <w:footerReference w:type="even" r:id="rId27"/>
      <w:footerReference w:type="default" r:id="rId2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3CD1" w14:textId="77777777" w:rsidR="006B076F" w:rsidRDefault="006B076F" w:rsidP="00D7571B">
      <w:r>
        <w:separator/>
      </w:r>
    </w:p>
  </w:endnote>
  <w:endnote w:type="continuationSeparator" w:id="0">
    <w:p w14:paraId="2E9A990D" w14:textId="77777777" w:rsidR="006B076F" w:rsidRDefault="006B076F" w:rsidP="00D7571B">
      <w:r>
        <w:continuationSeparator/>
      </w:r>
    </w:p>
  </w:endnote>
  <w:endnote w:type="continuationNotice" w:id="1">
    <w:p w14:paraId="01D1521F" w14:textId="77777777" w:rsidR="006B076F" w:rsidRDefault="006B076F" w:rsidP="00D75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5F04" w14:textId="59E9DC0A" w:rsidR="00BD0F8A" w:rsidRPr="00D27B99" w:rsidRDefault="002C5E9F" w:rsidP="00D65CF9">
    <w:sdt>
      <w:sdtPr>
        <w:alias w:val="Title"/>
        <w:tag w:val=""/>
        <w:id w:val="-1429347240"/>
        <w:dataBinding w:prefixMappings="xmlns:ns0='http://purl.org/dc/elements/1.1/' xmlns:ns1='http://schemas.openxmlformats.org/package/2006/metadata/core-properties' " w:xpath="/ns1:coreProperties[1]/ns0:title[1]" w:storeItemID="{6C3C8BC8-F283-45AE-878A-BAB7291924A1}"/>
        <w:text/>
      </w:sdtPr>
      <w:sdtEndPr/>
      <w:sdtContent>
        <w:r w:rsidR="00BB3255">
          <w:t>Cost Recovery - Consultation Paper</w:t>
        </w:r>
      </w:sdtContent>
    </w:sdt>
    <w:r w:rsidR="005A5D19">
      <w:tab/>
    </w:r>
    <w:r w:rsidR="005A5D19">
      <w:tab/>
    </w:r>
    <w:r w:rsidR="005A5D19" w:rsidRPr="005A5D19">
      <w:t>DCCEEW.gov.au</w:t>
    </w:r>
    <w:r w:rsidR="005A5D19">
      <w:tab/>
    </w:r>
    <w:r w:rsidR="005A5D19">
      <w:tab/>
    </w:r>
    <w:r w:rsidR="005A5D19">
      <w:tab/>
    </w:r>
    <w:r w:rsidR="005A5D19">
      <w:tab/>
    </w:r>
    <w:r w:rsidR="005A5D19">
      <w:fldChar w:fldCharType="begin"/>
    </w:r>
    <w:r w:rsidR="005A5D19">
      <w:instrText xml:space="preserve"> PAGE   \* MERGEFORMAT </w:instrText>
    </w:r>
    <w:r w:rsidR="005A5D19">
      <w:fldChar w:fldCharType="separate"/>
    </w:r>
    <w:r w:rsidR="005A5D19">
      <w:rPr>
        <w:noProof/>
      </w:rPr>
      <w:t>1</w:t>
    </w:r>
    <w:r w:rsidR="005A5D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6EDA" w14:textId="53CF67E1" w:rsidR="00F62B4E" w:rsidRPr="00D65CF9" w:rsidRDefault="005A5D19" w:rsidP="00930168">
    <w:pPr>
      <w:pStyle w:val="Footer"/>
      <w:jc w:val="center"/>
      <w:rPr>
        <w:b/>
        <w:color w:val="FF0000"/>
        <w:sz w:val="28"/>
      </w:rPr>
    </w:pPr>
    <w:r>
      <w:rPr>
        <w:b/>
        <w:bCs/>
        <w:iCs/>
        <w:color w:val="083A42" w:themeColor="text2"/>
        <w:sz w:val="26"/>
        <w:szCs w:val="26"/>
      </w:rPr>
      <w:t>DCCEEW</w:t>
    </w:r>
    <w:r w:rsidRPr="00806473">
      <w:rPr>
        <w:b/>
        <w:bCs/>
        <w:iCs/>
        <w:color w:val="083A42" w:themeColor="text2"/>
        <w:sz w:val="26"/>
        <w:szCs w:val="26"/>
      </w:rPr>
      <w: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6742" w14:textId="6851B949" w:rsidR="000B71D0" w:rsidRPr="00D27B99" w:rsidRDefault="002C5E9F" w:rsidP="00D65CF9">
    <w:sdt>
      <w:sdtPr>
        <w:alias w:val="Title"/>
        <w:tag w:val=""/>
        <w:id w:val="294952717"/>
        <w:dataBinding w:prefixMappings="xmlns:ns0='http://purl.org/dc/elements/1.1/' xmlns:ns1='http://schemas.openxmlformats.org/package/2006/metadata/core-properties' " w:xpath="/ns1:coreProperties[1]/ns0:title[1]" w:storeItemID="{6C3C8BC8-F283-45AE-878A-BAB7291924A1}"/>
        <w:text/>
      </w:sdtPr>
      <w:sdtEndPr/>
      <w:sdtContent>
        <w:r w:rsidR="00F04196">
          <w:t>Cost Recovery - Consultation Paper</w:t>
        </w:r>
      </w:sdtContent>
    </w:sdt>
    <w:r w:rsidR="000E7D49">
      <w:tab/>
    </w:r>
    <w:r w:rsidR="000E7D49">
      <w:tab/>
    </w:r>
    <w:r w:rsidR="000E7D49" w:rsidRPr="000E7D49">
      <w:t>DCCEEW.gov.au</w:t>
    </w:r>
    <w:r w:rsidR="000E7D49">
      <w:tab/>
    </w:r>
    <w:r w:rsidR="000E7D49">
      <w:tab/>
    </w:r>
    <w:r w:rsidR="000E7D49">
      <w:tab/>
    </w:r>
    <w:r w:rsidR="000E7D49" w:rsidRPr="000E7D49">
      <w:tab/>
    </w:r>
    <w:r w:rsidR="000E7D49" w:rsidRPr="009762A1">
      <w:fldChar w:fldCharType="begin"/>
    </w:r>
    <w:r w:rsidR="000E7D49" w:rsidRPr="000E7D49">
      <w:instrText xml:space="preserve"> PAGE   \* MERGEFORMAT </w:instrText>
    </w:r>
    <w:r w:rsidR="000E7D49" w:rsidRPr="009762A1">
      <w:fldChar w:fldCharType="separate"/>
    </w:r>
    <w:r w:rsidR="000E7D49">
      <w:t>2</w:t>
    </w:r>
    <w:r w:rsidR="000E7D49" w:rsidRPr="009762A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0D42" w14:textId="56B43031" w:rsidR="005A5D19" w:rsidRPr="000E7D49" w:rsidRDefault="000E7D49" w:rsidP="00D65CF9">
    <w:r>
      <w:tab/>
    </w:r>
    <w:r>
      <w:tab/>
    </w:r>
    <w:r w:rsidR="00753C54">
      <w:tab/>
    </w:r>
    <w:r w:rsidR="00753C54">
      <w:tab/>
    </w:r>
    <w:r w:rsidR="00753C54">
      <w:tab/>
    </w:r>
    <w:r w:rsidR="005A5D19" w:rsidRPr="000E7D49">
      <w:t>DCCEEW.gov.au</w:t>
    </w:r>
    <w:r>
      <w:tab/>
    </w:r>
    <w:r>
      <w:tab/>
    </w:r>
    <w:r>
      <w:tab/>
    </w:r>
    <w:r w:rsidR="005A5D19" w:rsidRPr="000E7D49">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D4CF" w14:textId="77777777" w:rsidR="00A757DD" w:rsidRDefault="00A757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D471" w14:textId="3479E652" w:rsidR="00D27B99" w:rsidRDefault="00BD0F8A" w:rsidP="0051493A">
    <w:pPr>
      <w:pStyle w:val="Footer"/>
      <w:rPr>
        <w:b/>
        <w:color w:val="FF0000"/>
        <w:sz w:val="28"/>
      </w:rPr>
    </w:pPr>
    <w:r>
      <w:tab/>
    </w:r>
    <w:r w:rsidR="00AC3086">
      <w:t>DCCEEW</w:t>
    </w:r>
    <w:r>
      <w:t>.gov.au</w:t>
    </w: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259B">
          <w:rPr>
            <w:noProof/>
          </w:rPr>
          <w:t>2</w:t>
        </w:r>
        <w:r>
          <w:rPr>
            <w:noProof/>
          </w:rPr>
          <w:fldChar w:fldCharType="end"/>
        </w:r>
      </w:sdtContent>
    </w:sdt>
    <w:r w:rsidR="00D27B99" w:rsidRPr="00D27B99">
      <w:rPr>
        <w:b/>
        <w:color w:val="FF0000"/>
        <w:sz w:val="28"/>
      </w:rPr>
      <w:t xml:space="preserve"> </w:t>
    </w:r>
  </w:p>
  <w:p w14:paraId="45233A98" w14:textId="77777777" w:rsidR="00BD0F8A" w:rsidRDefault="00BD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6267" w14:textId="77777777" w:rsidR="006B076F" w:rsidRDefault="006B076F" w:rsidP="00D7571B">
      <w:r>
        <w:separator/>
      </w:r>
    </w:p>
  </w:footnote>
  <w:footnote w:type="continuationSeparator" w:id="0">
    <w:p w14:paraId="5E8CD066" w14:textId="77777777" w:rsidR="006B076F" w:rsidRDefault="006B076F" w:rsidP="00D7571B">
      <w:r>
        <w:continuationSeparator/>
      </w:r>
    </w:p>
  </w:footnote>
  <w:footnote w:type="continuationNotice" w:id="1">
    <w:p w14:paraId="042B2603" w14:textId="77777777" w:rsidR="006B076F" w:rsidRDefault="006B076F" w:rsidP="00D7571B"/>
  </w:footnote>
  <w:footnote w:id="2">
    <w:p w14:paraId="4844E238" w14:textId="16FD235D" w:rsidR="00CD044F" w:rsidRDefault="00CD044F">
      <w:pPr>
        <w:pStyle w:val="FootnoteText"/>
      </w:pPr>
      <w:r>
        <w:rPr>
          <w:rStyle w:val="FootnoteReference"/>
        </w:rPr>
        <w:footnoteRef/>
      </w:r>
      <w:r>
        <w:t xml:space="preserve"> </w:t>
      </w:r>
      <w:r w:rsidRPr="00CD044F">
        <w:t xml:space="preserve">This recorded time is an underestimate of the true time assessments have taken, because it does not include the time of </w:t>
      </w:r>
      <w:r>
        <w:t>other staff who are</w:t>
      </w:r>
      <w:r w:rsidRPr="00CD044F">
        <w:t xml:space="preserve"> not the assessment officer</w:t>
      </w:r>
      <w:r>
        <w:t xml:space="preserve"> for </w:t>
      </w:r>
      <w:r w:rsidR="00FC6BDE">
        <w:t>a</w:t>
      </w:r>
      <w:r>
        <w:t xml:space="preserve"> particular application but have assisted with applications. Nevertheless, this provides an estimate and also an </w:t>
      </w:r>
      <w:r w:rsidR="00641554">
        <w:t xml:space="preserve">indication </w:t>
      </w:r>
      <w:r>
        <w:t>of the relative time taken for simple and complex assessments.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EDD0" w14:textId="2064466E" w:rsidR="00C4276B" w:rsidRDefault="00C4276B" w:rsidP="00D75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689" w14:textId="77777777" w:rsidR="00A757DD" w:rsidRDefault="00A7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D2558E"/>
    <w:lvl w:ilvl="0">
      <w:start w:val="1"/>
      <w:numFmt w:val="decimal"/>
      <w:lvlText w:val="%1."/>
      <w:lvlJc w:val="left"/>
      <w:pPr>
        <w:tabs>
          <w:tab w:val="num" w:pos="360"/>
        </w:tabs>
        <w:ind w:left="360" w:hanging="360"/>
      </w:pPr>
    </w:lvl>
  </w:abstractNum>
  <w:abstractNum w:abstractNumId="1" w15:restartNumberingAfterBreak="0">
    <w:nsid w:val="06312FC6"/>
    <w:multiLevelType w:val="multilevel"/>
    <w:tmpl w:val="DA36FCDC"/>
    <w:lvl w:ilvl="0">
      <w:start w:val="5"/>
      <w:numFmt w:val="bullet"/>
      <w:lvlText w:val=""/>
      <w:lvlJc w:val="left"/>
      <w:pPr>
        <w:tabs>
          <w:tab w:val="num" w:pos="720"/>
        </w:tabs>
        <w:ind w:left="720" w:hanging="720"/>
      </w:pPr>
      <w:rPr>
        <w:rFonts w:ascii="Symbol" w:eastAsiaTheme="minorHAnsi" w:hAnsi="Symbol" w:cstheme="minorBid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5D14C1"/>
    <w:multiLevelType w:val="multilevel"/>
    <w:tmpl w:val="F6A855F2"/>
    <w:lvl w:ilvl="0">
      <w:start w:val="5"/>
      <w:numFmt w:val="bullet"/>
      <w:lvlText w:val=""/>
      <w:lvlJc w:val="left"/>
      <w:pPr>
        <w:tabs>
          <w:tab w:val="num" w:pos="720"/>
        </w:tabs>
        <w:ind w:left="720" w:hanging="720"/>
      </w:pPr>
      <w:rPr>
        <w:rFonts w:ascii="Symbol" w:eastAsiaTheme="minorHAnsi" w:hAnsi="Symbol" w:cstheme="minorBid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E970FA"/>
    <w:multiLevelType w:val="hybridMultilevel"/>
    <w:tmpl w:val="E24AA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E02D0E"/>
    <w:multiLevelType w:val="hybridMultilevel"/>
    <w:tmpl w:val="7B2CB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0750B"/>
    <w:multiLevelType w:val="hybridMultilevel"/>
    <w:tmpl w:val="1210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F7CAC"/>
    <w:multiLevelType w:val="hybridMultilevel"/>
    <w:tmpl w:val="05F03E2C"/>
    <w:lvl w:ilvl="0" w:tplc="94AE4C4C">
      <w:start w:val="1"/>
      <w:numFmt w:val="bullet"/>
      <w:pStyle w:val="Bulletpoin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200D6"/>
    <w:multiLevelType w:val="hybridMultilevel"/>
    <w:tmpl w:val="634CC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D1187"/>
    <w:multiLevelType w:val="hybridMultilevel"/>
    <w:tmpl w:val="35402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C27725"/>
    <w:multiLevelType w:val="hybridMultilevel"/>
    <w:tmpl w:val="28F0D530"/>
    <w:lvl w:ilvl="0" w:tplc="598EF59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6F43F7"/>
    <w:multiLevelType w:val="hybridMultilevel"/>
    <w:tmpl w:val="50EA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2132C4"/>
    <w:multiLevelType w:val="hybridMultilevel"/>
    <w:tmpl w:val="858A6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857946"/>
    <w:multiLevelType w:val="hybridMultilevel"/>
    <w:tmpl w:val="DEC00114"/>
    <w:lvl w:ilvl="0" w:tplc="4E1042C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AED7955"/>
    <w:multiLevelType w:val="hybridMultilevel"/>
    <w:tmpl w:val="E4C4B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39759A"/>
    <w:multiLevelType w:val="hybridMultilevel"/>
    <w:tmpl w:val="DAB290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975966"/>
    <w:multiLevelType w:val="hybridMultilevel"/>
    <w:tmpl w:val="ECD65E26"/>
    <w:lvl w:ilvl="0" w:tplc="E96674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456429"/>
    <w:multiLevelType w:val="multilevel"/>
    <w:tmpl w:val="32DC93C6"/>
    <w:lvl w:ilvl="0">
      <w:start w:val="1"/>
      <w:numFmt w:val="decimal"/>
      <w:pStyle w:val="ListNumber"/>
      <w:lvlText w:val="%1."/>
      <w:lvlJc w:val="left"/>
      <w:pPr>
        <w:ind w:left="369" w:hanging="369"/>
      </w:pPr>
      <w:rPr>
        <w:rFonts w:ascii="Arial" w:hAnsi="Arial" w:hint="default"/>
        <w:i w:val="0"/>
        <w:iCs w:val="0"/>
        <w:sz w:val="22"/>
      </w:rPr>
    </w:lvl>
    <w:lvl w:ilvl="1">
      <w:start w:val="1"/>
      <w:numFmt w:val="lowerLetter"/>
      <w:pStyle w:val="ListNumber2"/>
      <w:lvlText w:val="%2."/>
      <w:lvlJc w:val="left"/>
      <w:pPr>
        <w:ind w:left="738" w:hanging="369"/>
      </w:pPr>
      <w:rPr>
        <w:rFonts w:hint="default"/>
        <w:i w:val="0"/>
        <w:iCs w:val="0"/>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8600977"/>
    <w:multiLevelType w:val="multilevel"/>
    <w:tmpl w:val="B4F4741C"/>
    <w:lvl w:ilvl="0">
      <w:start w:val="5"/>
      <w:numFmt w:val="bullet"/>
      <w:lvlText w:val=""/>
      <w:lvlJc w:val="left"/>
      <w:pPr>
        <w:tabs>
          <w:tab w:val="num" w:pos="720"/>
        </w:tabs>
        <w:ind w:left="720" w:hanging="720"/>
      </w:pPr>
      <w:rPr>
        <w:rFonts w:ascii="Symbol" w:eastAsiaTheme="minorHAnsi" w:hAnsi="Symbol" w:cstheme="minorBid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DDE2658"/>
    <w:multiLevelType w:val="hybridMultilevel"/>
    <w:tmpl w:val="80E43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260063"/>
    <w:multiLevelType w:val="hybridMultilevel"/>
    <w:tmpl w:val="F2623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8A824BF"/>
    <w:multiLevelType w:val="multilevel"/>
    <w:tmpl w:val="FB78D8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EB11C8"/>
    <w:multiLevelType w:val="hybridMultilevel"/>
    <w:tmpl w:val="C6624402"/>
    <w:lvl w:ilvl="0" w:tplc="0DF826B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820423">
    <w:abstractNumId w:val="16"/>
  </w:num>
  <w:num w:numId="2" w16cid:durableId="1997411306">
    <w:abstractNumId w:val="5"/>
  </w:num>
  <w:num w:numId="3" w16cid:durableId="1956714967">
    <w:abstractNumId w:val="16"/>
  </w:num>
  <w:num w:numId="4" w16cid:durableId="774590710">
    <w:abstractNumId w:val="16"/>
  </w:num>
  <w:num w:numId="5" w16cid:durableId="367493096">
    <w:abstractNumId w:val="20"/>
  </w:num>
  <w:num w:numId="6" w16cid:durableId="2031836792">
    <w:abstractNumId w:val="15"/>
  </w:num>
  <w:num w:numId="7" w16cid:durableId="55013339">
    <w:abstractNumId w:val="21"/>
  </w:num>
  <w:num w:numId="8" w16cid:durableId="96681709">
    <w:abstractNumId w:val="10"/>
  </w:num>
  <w:num w:numId="9" w16cid:durableId="1351370877">
    <w:abstractNumId w:val="9"/>
  </w:num>
  <w:num w:numId="10" w16cid:durableId="1484279410">
    <w:abstractNumId w:val="4"/>
  </w:num>
  <w:num w:numId="11" w16cid:durableId="764227266">
    <w:abstractNumId w:val="14"/>
  </w:num>
  <w:num w:numId="12" w16cid:durableId="385837803">
    <w:abstractNumId w:val="8"/>
  </w:num>
  <w:num w:numId="13" w16cid:durableId="2091000635">
    <w:abstractNumId w:val="18"/>
  </w:num>
  <w:num w:numId="14" w16cid:durableId="1303072489">
    <w:abstractNumId w:val="11"/>
  </w:num>
  <w:num w:numId="15" w16cid:durableId="1014696802">
    <w:abstractNumId w:val="0"/>
  </w:num>
  <w:num w:numId="16" w16cid:durableId="1299265288">
    <w:abstractNumId w:val="13"/>
  </w:num>
  <w:num w:numId="17" w16cid:durableId="305205466">
    <w:abstractNumId w:val="16"/>
  </w:num>
  <w:num w:numId="18" w16cid:durableId="1022441963">
    <w:abstractNumId w:val="7"/>
  </w:num>
  <w:num w:numId="19" w16cid:durableId="1387143058">
    <w:abstractNumId w:val="20"/>
  </w:num>
  <w:num w:numId="20" w16cid:durableId="1598515874">
    <w:abstractNumId w:val="12"/>
  </w:num>
  <w:num w:numId="21" w16cid:durableId="1265188586">
    <w:abstractNumId w:val="19"/>
  </w:num>
  <w:num w:numId="22" w16cid:durableId="1516189400">
    <w:abstractNumId w:val="17"/>
  </w:num>
  <w:num w:numId="23" w16cid:durableId="1264604803">
    <w:abstractNumId w:val="1"/>
  </w:num>
  <w:num w:numId="24" w16cid:durableId="633298048">
    <w:abstractNumId w:val="2"/>
  </w:num>
  <w:num w:numId="25" w16cid:durableId="1572303920">
    <w:abstractNumId w:val="3"/>
  </w:num>
  <w:num w:numId="26" w16cid:durableId="431433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F"/>
    <w:rsid w:val="000104DC"/>
    <w:rsid w:val="00021CB0"/>
    <w:rsid w:val="00024A1A"/>
    <w:rsid w:val="000308AD"/>
    <w:rsid w:val="00032995"/>
    <w:rsid w:val="00033C30"/>
    <w:rsid w:val="00042CB5"/>
    <w:rsid w:val="00042ED0"/>
    <w:rsid w:val="00045D1D"/>
    <w:rsid w:val="000552B3"/>
    <w:rsid w:val="00060049"/>
    <w:rsid w:val="0006055E"/>
    <w:rsid w:val="000613B2"/>
    <w:rsid w:val="0006301C"/>
    <w:rsid w:val="0007067B"/>
    <w:rsid w:val="00071EE4"/>
    <w:rsid w:val="00081D07"/>
    <w:rsid w:val="00081DDC"/>
    <w:rsid w:val="0008356E"/>
    <w:rsid w:val="000908A2"/>
    <w:rsid w:val="00092A7C"/>
    <w:rsid w:val="000A55EC"/>
    <w:rsid w:val="000A7DAB"/>
    <w:rsid w:val="000B3A95"/>
    <w:rsid w:val="000B4D2F"/>
    <w:rsid w:val="000B50E6"/>
    <w:rsid w:val="000B71D0"/>
    <w:rsid w:val="000B7DD4"/>
    <w:rsid w:val="000C3494"/>
    <w:rsid w:val="000C39EE"/>
    <w:rsid w:val="000E0092"/>
    <w:rsid w:val="000E1451"/>
    <w:rsid w:val="000E599A"/>
    <w:rsid w:val="000E7D49"/>
    <w:rsid w:val="000F2001"/>
    <w:rsid w:val="000F2564"/>
    <w:rsid w:val="000F4E24"/>
    <w:rsid w:val="00104407"/>
    <w:rsid w:val="00111E1A"/>
    <w:rsid w:val="00114F5D"/>
    <w:rsid w:val="00124EA7"/>
    <w:rsid w:val="00126A3D"/>
    <w:rsid w:val="00143A4C"/>
    <w:rsid w:val="00145DE0"/>
    <w:rsid w:val="001472F6"/>
    <w:rsid w:val="00152E46"/>
    <w:rsid w:val="00153C15"/>
    <w:rsid w:val="00154BF6"/>
    <w:rsid w:val="001605C3"/>
    <w:rsid w:val="00171E09"/>
    <w:rsid w:val="00183221"/>
    <w:rsid w:val="001842A6"/>
    <w:rsid w:val="001852DF"/>
    <w:rsid w:val="0018753C"/>
    <w:rsid w:val="00195BA9"/>
    <w:rsid w:val="001A5A2D"/>
    <w:rsid w:val="001A6DD6"/>
    <w:rsid w:val="001B1C3C"/>
    <w:rsid w:val="001B1E9A"/>
    <w:rsid w:val="001B5302"/>
    <w:rsid w:val="001C1D56"/>
    <w:rsid w:val="001D0832"/>
    <w:rsid w:val="001D17D1"/>
    <w:rsid w:val="001D216A"/>
    <w:rsid w:val="001D2E82"/>
    <w:rsid w:val="001D2F41"/>
    <w:rsid w:val="001D51DA"/>
    <w:rsid w:val="001D7AF0"/>
    <w:rsid w:val="001E50FB"/>
    <w:rsid w:val="001E750C"/>
    <w:rsid w:val="001E7E3C"/>
    <w:rsid w:val="001F5AB1"/>
    <w:rsid w:val="001F7DED"/>
    <w:rsid w:val="00205DBA"/>
    <w:rsid w:val="00205DF3"/>
    <w:rsid w:val="0020685A"/>
    <w:rsid w:val="00210573"/>
    <w:rsid w:val="00213CD4"/>
    <w:rsid w:val="00213EA0"/>
    <w:rsid w:val="0022083E"/>
    <w:rsid w:val="00222D0B"/>
    <w:rsid w:val="00226F55"/>
    <w:rsid w:val="00236A53"/>
    <w:rsid w:val="0023725A"/>
    <w:rsid w:val="002414E2"/>
    <w:rsid w:val="00241D3D"/>
    <w:rsid w:val="002421AC"/>
    <w:rsid w:val="00251EC4"/>
    <w:rsid w:val="00253E54"/>
    <w:rsid w:val="00254DA8"/>
    <w:rsid w:val="00255C40"/>
    <w:rsid w:val="002633FE"/>
    <w:rsid w:val="00263763"/>
    <w:rsid w:val="002658F2"/>
    <w:rsid w:val="00266855"/>
    <w:rsid w:val="00267395"/>
    <w:rsid w:val="00272B04"/>
    <w:rsid w:val="00276EF8"/>
    <w:rsid w:val="00277FDC"/>
    <w:rsid w:val="00283EAE"/>
    <w:rsid w:val="00293D9B"/>
    <w:rsid w:val="002B3A3A"/>
    <w:rsid w:val="002B44B8"/>
    <w:rsid w:val="002B5C69"/>
    <w:rsid w:val="002C529C"/>
    <w:rsid w:val="002C5E9F"/>
    <w:rsid w:val="002C79F6"/>
    <w:rsid w:val="002D1742"/>
    <w:rsid w:val="002D230B"/>
    <w:rsid w:val="002D2BDF"/>
    <w:rsid w:val="002D46DE"/>
    <w:rsid w:val="002E1FE2"/>
    <w:rsid w:val="002F6F50"/>
    <w:rsid w:val="002F6FB6"/>
    <w:rsid w:val="003004BA"/>
    <w:rsid w:val="003048F9"/>
    <w:rsid w:val="00305BC6"/>
    <w:rsid w:val="0031177A"/>
    <w:rsid w:val="00312E2D"/>
    <w:rsid w:val="003147D1"/>
    <w:rsid w:val="00347FEC"/>
    <w:rsid w:val="00351031"/>
    <w:rsid w:val="00353F50"/>
    <w:rsid w:val="00357D4D"/>
    <w:rsid w:val="00367E83"/>
    <w:rsid w:val="003721A4"/>
    <w:rsid w:val="003723CE"/>
    <w:rsid w:val="00380579"/>
    <w:rsid w:val="00390B0F"/>
    <w:rsid w:val="003A0E7F"/>
    <w:rsid w:val="003A25E7"/>
    <w:rsid w:val="003A2DC5"/>
    <w:rsid w:val="003A47D1"/>
    <w:rsid w:val="003B288B"/>
    <w:rsid w:val="003D0F2A"/>
    <w:rsid w:val="003D138D"/>
    <w:rsid w:val="003D25B4"/>
    <w:rsid w:val="003D38ED"/>
    <w:rsid w:val="003D6660"/>
    <w:rsid w:val="003E4583"/>
    <w:rsid w:val="003E53A6"/>
    <w:rsid w:val="003F16DF"/>
    <w:rsid w:val="003F66D8"/>
    <w:rsid w:val="004035C1"/>
    <w:rsid w:val="00403C71"/>
    <w:rsid w:val="00403D2D"/>
    <w:rsid w:val="00405795"/>
    <w:rsid w:val="00405DCE"/>
    <w:rsid w:val="0042051D"/>
    <w:rsid w:val="004248AC"/>
    <w:rsid w:val="004251AC"/>
    <w:rsid w:val="0043291F"/>
    <w:rsid w:val="00436CB0"/>
    <w:rsid w:val="00440768"/>
    <w:rsid w:val="00441020"/>
    <w:rsid w:val="00442E82"/>
    <w:rsid w:val="004479D3"/>
    <w:rsid w:val="0045057E"/>
    <w:rsid w:val="004541E2"/>
    <w:rsid w:val="00454265"/>
    <w:rsid w:val="00454725"/>
    <w:rsid w:val="00456C02"/>
    <w:rsid w:val="00461013"/>
    <w:rsid w:val="0046139C"/>
    <w:rsid w:val="004632E9"/>
    <w:rsid w:val="00463308"/>
    <w:rsid w:val="0046678C"/>
    <w:rsid w:val="00472562"/>
    <w:rsid w:val="004726D6"/>
    <w:rsid w:val="004754A6"/>
    <w:rsid w:val="0048511D"/>
    <w:rsid w:val="004912BF"/>
    <w:rsid w:val="00494C3F"/>
    <w:rsid w:val="00497EA9"/>
    <w:rsid w:val="004A27E9"/>
    <w:rsid w:val="004B4254"/>
    <w:rsid w:val="004B5466"/>
    <w:rsid w:val="004B6C5D"/>
    <w:rsid w:val="004C0794"/>
    <w:rsid w:val="004C0E3F"/>
    <w:rsid w:val="004D3B0F"/>
    <w:rsid w:val="004D6198"/>
    <w:rsid w:val="004E5181"/>
    <w:rsid w:val="004E6267"/>
    <w:rsid w:val="004E6423"/>
    <w:rsid w:val="004E75D2"/>
    <w:rsid w:val="004F26EE"/>
    <w:rsid w:val="004F3C8A"/>
    <w:rsid w:val="004F77C8"/>
    <w:rsid w:val="00503C77"/>
    <w:rsid w:val="00513702"/>
    <w:rsid w:val="0051493A"/>
    <w:rsid w:val="00516B0E"/>
    <w:rsid w:val="005212FC"/>
    <w:rsid w:val="005222A0"/>
    <w:rsid w:val="00525DD5"/>
    <w:rsid w:val="0052741C"/>
    <w:rsid w:val="00531019"/>
    <w:rsid w:val="00543CE4"/>
    <w:rsid w:val="00561694"/>
    <w:rsid w:val="00564CFF"/>
    <w:rsid w:val="0057014C"/>
    <w:rsid w:val="005754CF"/>
    <w:rsid w:val="005814F3"/>
    <w:rsid w:val="00583299"/>
    <w:rsid w:val="00584B74"/>
    <w:rsid w:val="00596C12"/>
    <w:rsid w:val="005A0185"/>
    <w:rsid w:val="005A1B5C"/>
    <w:rsid w:val="005A593A"/>
    <w:rsid w:val="005A5D19"/>
    <w:rsid w:val="005A67B8"/>
    <w:rsid w:val="005C62F9"/>
    <w:rsid w:val="005D04C5"/>
    <w:rsid w:val="005E01DA"/>
    <w:rsid w:val="005E1654"/>
    <w:rsid w:val="005E494D"/>
    <w:rsid w:val="005E6B11"/>
    <w:rsid w:val="005F2574"/>
    <w:rsid w:val="005F78B4"/>
    <w:rsid w:val="00603DDF"/>
    <w:rsid w:val="00607188"/>
    <w:rsid w:val="006103B6"/>
    <w:rsid w:val="00612821"/>
    <w:rsid w:val="006220C4"/>
    <w:rsid w:val="00624412"/>
    <w:rsid w:val="006337C7"/>
    <w:rsid w:val="00633E1D"/>
    <w:rsid w:val="006344B5"/>
    <w:rsid w:val="00636A01"/>
    <w:rsid w:val="00641554"/>
    <w:rsid w:val="00642825"/>
    <w:rsid w:val="00643979"/>
    <w:rsid w:val="00644014"/>
    <w:rsid w:val="00652A5D"/>
    <w:rsid w:val="00663D2B"/>
    <w:rsid w:val="00667AB2"/>
    <w:rsid w:val="0067097A"/>
    <w:rsid w:val="00671D1D"/>
    <w:rsid w:val="00672ECF"/>
    <w:rsid w:val="00674FD6"/>
    <w:rsid w:val="006758FF"/>
    <w:rsid w:val="00681F22"/>
    <w:rsid w:val="0068286F"/>
    <w:rsid w:val="0068593A"/>
    <w:rsid w:val="00686410"/>
    <w:rsid w:val="00695B6F"/>
    <w:rsid w:val="00697567"/>
    <w:rsid w:val="006A1B79"/>
    <w:rsid w:val="006A2D7F"/>
    <w:rsid w:val="006B076F"/>
    <w:rsid w:val="006C4C9C"/>
    <w:rsid w:val="006D2221"/>
    <w:rsid w:val="006E0C6F"/>
    <w:rsid w:val="006E1E6A"/>
    <w:rsid w:val="006E4001"/>
    <w:rsid w:val="006E5D8D"/>
    <w:rsid w:val="006F4705"/>
    <w:rsid w:val="006F58A5"/>
    <w:rsid w:val="00703AFA"/>
    <w:rsid w:val="00704DAB"/>
    <w:rsid w:val="00711349"/>
    <w:rsid w:val="00713497"/>
    <w:rsid w:val="00722CF8"/>
    <w:rsid w:val="007230ED"/>
    <w:rsid w:val="00723C5D"/>
    <w:rsid w:val="00723F2A"/>
    <w:rsid w:val="007368FE"/>
    <w:rsid w:val="00745847"/>
    <w:rsid w:val="00745DD4"/>
    <w:rsid w:val="0074615C"/>
    <w:rsid w:val="00747C9B"/>
    <w:rsid w:val="00750D6A"/>
    <w:rsid w:val="00753C54"/>
    <w:rsid w:val="00761EBE"/>
    <w:rsid w:val="00763689"/>
    <w:rsid w:val="0077564D"/>
    <w:rsid w:val="007833EE"/>
    <w:rsid w:val="00783569"/>
    <w:rsid w:val="00791EC4"/>
    <w:rsid w:val="007A1713"/>
    <w:rsid w:val="007A23BB"/>
    <w:rsid w:val="007A50FA"/>
    <w:rsid w:val="007A61A7"/>
    <w:rsid w:val="007A7C5E"/>
    <w:rsid w:val="007B553F"/>
    <w:rsid w:val="007B6DB5"/>
    <w:rsid w:val="007B7B24"/>
    <w:rsid w:val="007C00A5"/>
    <w:rsid w:val="007C0162"/>
    <w:rsid w:val="007C25DE"/>
    <w:rsid w:val="007C26B8"/>
    <w:rsid w:val="007D0A96"/>
    <w:rsid w:val="007D7986"/>
    <w:rsid w:val="007E096E"/>
    <w:rsid w:val="007E1D73"/>
    <w:rsid w:val="007E3049"/>
    <w:rsid w:val="007F2F3C"/>
    <w:rsid w:val="007F640A"/>
    <w:rsid w:val="00806473"/>
    <w:rsid w:val="00806CE1"/>
    <w:rsid w:val="008073EA"/>
    <w:rsid w:val="00810A7F"/>
    <w:rsid w:val="00814EF2"/>
    <w:rsid w:val="0082126F"/>
    <w:rsid w:val="00823637"/>
    <w:rsid w:val="00824B82"/>
    <w:rsid w:val="00826293"/>
    <w:rsid w:val="008331C1"/>
    <w:rsid w:val="0083326C"/>
    <w:rsid w:val="00835069"/>
    <w:rsid w:val="008363C5"/>
    <w:rsid w:val="008373E9"/>
    <w:rsid w:val="00841391"/>
    <w:rsid w:val="0084309F"/>
    <w:rsid w:val="00846FF9"/>
    <w:rsid w:val="00850F21"/>
    <w:rsid w:val="00853A7A"/>
    <w:rsid w:val="00853AFC"/>
    <w:rsid w:val="00855D63"/>
    <w:rsid w:val="00867C28"/>
    <w:rsid w:val="008763E6"/>
    <w:rsid w:val="00876A5D"/>
    <w:rsid w:val="0088154D"/>
    <w:rsid w:val="008831C7"/>
    <w:rsid w:val="00885D1C"/>
    <w:rsid w:val="00892B6E"/>
    <w:rsid w:val="008A03CD"/>
    <w:rsid w:val="008A25A1"/>
    <w:rsid w:val="008A25D0"/>
    <w:rsid w:val="008A383F"/>
    <w:rsid w:val="008B2406"/>
    <w:rsid w:val="008B4D1C"/>
    <w:rsid w:val="008B7B1E"/>
    <w:rsid w:val="008C3B21"/>
    <w:rsid w:val="008E0FD9"/>
    <w:rsid w:val="008E5E4B"/>
    <w:rsid w:val="008E6472"/>
    <w:rsid w:val="008F1421"/>
    <w:rsid w:val="008F25F7"/>
    <w:rsid w:val="008F48DE"/>
    <w:rsid w:val="008F59C8"/>
    <w:rsid w:val="008F65A0"/>
    <w:rsid w:val="008F77DC"/>
    <w:rsid w:val="00901E2E"/>
    <w:rsid w:val="00902B11"/>
    <w:rsid w:val="00904BD4"/>
    <w:rsid w:val="00930168"/>
    <w:rsid w:val="0093467E"/>
    <w:rsid w:val="009512A8"/>
    <w:rsid w:val="00961297"/>
    <w:rsid w:val="009632B3"/>
    <w:rsid w:val="009750D7"/>
    <w:rsid w:val="00983844"/>
    <w:rsid w:val="009953E0"/>
    <w:rsid w:val="009A47DC"/>
    <w:rsid w:val="009A504A"/>
    <w:rsid w:val="009A549D"/>
    <w:rsid w:val="009A7AE4"/>
    <w:rsid w:val="009B29F7"/>
    <w:rsid w:val="009B7067"/>
    <w:rsid w:val="009D2B36"/>
    <w:rsid w:val="009E48F3"/>
    <w:rsid w:val="009E6E26"/>
    <w:rsid w:val="009F59EE"/>
    <w:rsid w:val="009F613D"/>
    <w:rsid w:val="009F6816"/>
    <w:rsid w:val="00A0063B"/>
    <w:rsid w:val="00A046EC"/>
    <w:rsid w:val="00A10A49"/>
    <w:rsid w:val="00A125F3"/>
    <w:rsid w:val="00A12B70"/>
    <w:rsid w:val="00A1682A"/>
    <w:rsid w:val="00A16EBD"/>
    <w:rsid w:val="00A22225"/>
    <w:rsid w:val="00A27F3E"/>
    <w:rsid w:val="00A331FD"/>
    <w:rsid w:val="00A338C4"/>
    <w:rsid w:val="00A341B4"/>
    <w:rsid w:val="00A35FBA"/>
    <w:rsid w:val="00A40428"/>
    <w:rsid w:val="00A52F3D"/>
    <w:rsid w:val="00A57A23"/>
    <w:rsid w:val="00A71E0F"/>
    <w:rsid w:val="00A731BB"/>
    <w:rsid w:val="00A757DD"/>
    <w:rsid w:val="00A76039"/>
    <w:rsid w:val="00A77157"/>
    <w:rsid w:val="00A804EB"/>
    <w:rsid w:val="00A862DF"/>
    <w:rsid w:val="00AA0144"/>
    <w:rsid w:val="00AA0FC4"/>
    <w:rsid w:val="00AA6EB2"/>
    <w:rsid w:val="00AA740C"/>
    <w:rsid w:val="00AB08BE"/>
    <w:rsid w:val="00AB2B87"/>
    <w:rsid w:val="00AB3484"/>
    <w:rsid w:val="00AB7156"/>
    <w:rsid w:val="00AC2771"/>
    <w:rsid w:val="00AC3086"/>
    <w:rsid w:val="00AC38CE"/>
    <w:rsid w:val="00AC723C"/>
    <w:rsid w:val="00AD1F1F"/>
    <w:rsid w:val="00AD798A"/>
    <w:rsid w:val="00AE477B"/>
    <w:rsid w:val="00AE50DC"/>
    <w:rsid w:val="00AE54E5"/>
    <w:rsid w:val="00AE796B"/>
    <w:rsid w:val="00AE79E4"/>
    <w:rsid w:val="00AF004A"/>
    <w:rsid w:val="00AF29EE"/>
    <w:rsid w:val="00AF304C"/>
    <w:rsid w:val="00B0398D"/>
    <w:rsid w:val="00B056DB"/>
    <w:rsid w:val="00B05F61"/>
    <w:rsid w:val="00B11BB1"/>
    <w:rsid w:val="00B1549C"/>
    <w:rsid w:val="00B251DB"/>
    <w:rsid w:val="00B256AD"/>
    <w:rsid w:val="00B26C25"/>
    <w:rsid w:val="00B35C0C"/>
    <w:rsid w:val="00B36C4D"/>
    <w:rsid w:val="00B3735F"/>
    <w:rsid w:val="00B37AA6"/>
    <w:rsid w:val="00B41C59"/>
    <w:rsid w:val="00B42C10"/>
    <w:rsid w:val="00B6035F"/>
    <w:rsid w:val="00B65657"/>
    <w:rsid w:val="00B75FFC"/>
    <w:rsid w:val="00B8195F"/>
    <w:rsid w:val="00B87133"/>
    <w:rsid w:val="00B919FD"/>
    <w:rsid w:val="00B9228C"/>
    <w:rsid w:val="00B97009"/>
    <w:rsid w:val="00BA057E"/>
    <w:rsid w:val="00BA26EF"/>
    <w:rsid w:val="00BA4A6F"/>
    <w:rsid w:val="00BA696D"/>
    <w:rsid w:val="00BB178E"/>
    <w:rsid w:val="00BB3255"/>
    <w:rsid w:val="00BB510E"/>
    <w:rsid w:val="00BB571F"/>
    <w:rsid w:val="00BD0F8A"/>
    <w:rsid w:val="00BE4501"/>
    <w:rsid w:val="00BE6EEA"/>
    <w:rsid w:val="00BF058D"/>
    <w:rsid w:val="00BF0855"/>
    <w:rsid w:val="00BF09D3"/>
    <w:rsid w:val="00BF7506"/>
    <w:rsid w:val="00C01DC8"/>
    <w:rsid w:val="00C01EEC"/>
    <w:rsid w:val="00C020C1"/>
    <w:rsid w:val="00C02B2D"/>
    <w:rsid w:val="00C03C94"/>
    <w:rsid w:val="00C04134"/>
    <w:rsid w:val="00C12AD0"/>
    <w:rsid w:val="00C20ACF"/>
    <w:rsid w:val="00C2380E"/>
    <w:rsid w:val="00C24824"/>
    <w:rsid w:val="00C277BE"/>
    <w:rsid w:val="00C305C8"/>
    <w:rsid w:val="00C338AF"/>
    <w:rsid w:val="00C340A7"/>
    <w:rsid w:val="00C355E4"/>
    <w:rsid w:val="00C4276B"/>
    <w:rsid w:val="00C47599"/>
    <w:rsid w:val="00C516A4"/>
    <w:rsid w:val="00C522DA"/>
    <w:rsid w:val="00C56351"/>
    <w:rsid w:val="00C65952"/>
    <w:rsid w:val="00C70220"/>
    <w:rsid w:val="00C70D9A"/>
    <w:rsid w:val="00C72141"/>
    <w:rsid w:val="00C75427"/>
    <w:rsid w:val="00C75F3D"/>
    <w:rsid w:val="00C8084E"/>
    <w:rsid w:val="00C85AB4"/>
    <w:rsid w:val="00C96C60"/>
    <w:rsid w:val="00CA3815"/>
    <w:rsid w:val="00CA438F"/>
    <w:rsid w:val="00CA6E6D"/>
    <w:rsid w:val="00CB3C9E"/>
    <w:rsid w:val="00CB7499"/>
    <w:rsid w:val="00CB7C18"/>
    <w:rsid w:val="00CC5816"/>
    <w:rsid w:val="00CC6A28"/>
    <w:rsid w:val="00CD044F"/>
    <w:rsid w:val="00CD0BC9"/>
    <w:rsid w:val="00CD4A58"/>
    <w:rsid w:val="00CE0429"/>
    <w:rsid w:val="00CE0AC6"/>
    <w:rsid w:val="00CE560D"/>
    <w:rsid w:val="00CE7182"/>
    <w:rsid w:val="00CF1964"/>
    <w:rsid w:val="00CF3D7A"/>
    <w:rsid w:val="00CF4AC0"/>
    <w:rsid w:val="00D044E9"/>
    <w:rsid w:val="00D10EDA"/>
    <w:rsid w:val="00D12AA0"/>
    <w:rsid w:val="00D12AC1"/>
    <w:rsid w:val="00D17D44"/>
    <w:rsid w:val="00D21AE1"/>
    <w:rsid w:val="00D220CF"/>
    <w:rsid w:val="00D27905"/>
    <w:rsid w:val="00D27B99"/>
    <w:rsid w:val="00D3194C"/>
    <w:rsid w:val="00D31AEE"/>
    <w:rsid w:val="00D3255D"/>
    <w:rsid w:val="00D3259B"/>
    <w:rsid w:val="00D40AE6"/>
    <w:rsid w:val="00D43997"/>
    <w:rsid w:val="00D4489C"/>
    <w:rsid w:val="00D44B73"/>
    <w:rsid w:val="00D44CE4"/>
    <w:rsid w:val="00D64796"/>
    <w:rsid w:val="00D65CF9"/>
    <w:rsid w:val="00D7322A"/>
    <w:rsid w:val="00D7571B"/>
    <w:rsid w:val="00D772DD"/>
    <w:rsid w:val="00D77484"/>
    <w:rsid w:val="00D776C7"/>
    <w:rsid w:val="00D841E9"/>
    <w:rsid w:val="00D8552E"/>
    <w:rsid w:val="00D91891"/>
    <w:rsid w:val="00D91BFE"/>
    <w:rsid w:val="00D91DF5"/>
    <w:rsid w:val="00D930D1"/>
    <w:rsid w:val="00D94AA7"/>
    <w:rsid w:val="00DA106F"/>
    <w:rsid w:val="00DA156D"/>
    <w:rsid w:val="00DA2736"/>
    <w:rsid w:val="00DA3FA3"/>
    <w:rsid w:val="00DA560F"/>
    <w:rsid w:val="00DA5B7D"/>
    <w:rsid w:val="00DA5FAD"/>
    <w:rsid w:val="00DA60F5"/>
    <w:rsid w:val="00DB05D0"/>
    <w:rsid w:val="00DB39EC"/>
    <w:rsid w:val="00DB48AA"/>
    <w:rsid w:val="00DD17FB"/>
    <w:rsid w:val="00DD2819"/>
    <w:rsid w:val="00DD28D8"/>
    <w:rsid w:val="00DD5905"/>
    <w:rsid w:val="00DE1060"/>
    <w:rsid w:val="00DE76C1"/>
    <w:rsid w:val="00DF3AA8"/>
    <w:rsid w:val="00DF5339"/>
    <w:rsid w:val="00E008FD"/>
    <w:rsid w:val="00E012B1"/>
    <w:rsid w:val="00E01D7D"/>
    <w:rsid w:val="00E20268"/>
    <w:rsid w:val="00E21305"/>
    <w:rsid w:val="00E21416"/>
    <w:rsid w:val="00E21AF1"/>
    <w:rsid w:val="00E26B8A"/>
    <w:rsid w:val="00E273DB"/>
    <w:rsid w:val="00E27CC0"/>
    <w:rsid w:val="00E30116"/>
    <w:rsid w:val="00E3027E"/>
    <w:rsid w:val="00E3142B"/>
    <w:rsid w:val="00E33FBC"/>
    <w:rsid w:val="00E51EC5"/>
    <w:rsid w:val="00E55DEB"/>
    <w:rsid w:val="00E60B19"/>
    <w:rsid w:val="00E73D0C"/>
    <w:rsid w:val="00E7665B"/>
    <w:rsid w:val="00E81795"/>
    <w:rsid w:val="00E94B3C"/>
    <w:rsid w:val="00E94D8F"/>
    <w:rsid w:val="00EA2A25"/>
    <w:rsid w:val="00EA6B1B"/>
    <w:rsid w:val="00EA7B37"/>
    <w:rsid w:val="00EB1DDD"/>
    <w:rsid w:val="00EB4585"/>
    <w:rsid w:val="00EC0874"/>
    <w:rsid w:val="00EC2034"/>
    <w:rsid w:val="00EC2533"/>
    <w:rsid w:val="00EC3B86"/>
    <w:rsid w:val="00EC6EB0"/>
    <w:rsid w:val="00ED3640"/>
    <w:rsid w:val="00EE10A0"/>
    <w:rsid w:val="00EE5623"/>
    <w:rsid w:val="00EE5855"/>
    <w:rsid w:val="00EF1A8D"/>
    <w:rsid w:val="00EF4D9F"/>
    <w:rsid w:val="00F002CA"/>
    <w:rsid w:val="00F01FC6"/>
    <w:rsid w:val="00F04196"/>
    <w:rsid w:val="00F12B70"/>
    <w:rsid w:val="00F14A9D"/>
    <w:rsid w:val="00F1790F"/>
    <w:rsid w:val="00F22BB9"/>
    <w:rsid w:val="00F32B5A"/>
    <w:rsid w:val="00F43872"/>
    <w:rsid w:val="00F43F41"/>
    <w:rsid w:val="00F47DF0"/>
    <w:rsid w:val="00F51C44"/>
    <w:rsid w:val="00F529D7"/>
    <w:rsid w:val="00F5488E"/>
    <w:rsid w:val="00F62B4E"/>
    <w:rsid w:val="00F8391D"/>
    <w:rsid w:val="00FA4EC8"/>
    <w:rsid w:val="00FB49B8"/>
    <w:rsid w:val="00FB63F3"/>
    <w:rsid w:val="00FC3CB2"/>
    <w:rsid w:val="00FC5259"/>
    <w:rsid w:val="00FC6BDE"/>
    <w:rsid w:val="00FD0943"/>
    <w:rsid w:val="00FD6E90"/>
    <w:rsid w:val="00FE153F"/>
    <w:rsid w:val="00FE6D64"/>
    <w:rsid w:val="00FE7DB2"/>
    <w:rsid w:val="00FF06C5"/>
    <w:rsid w:val="00FF0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929A8"/>
  <w15:chartTrackingRefBased/>
  <w15:docId w15:val="{7DC6F621-04F9-4865-A44A-94A90315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71B"/>
    <w:pPr>
      <w:spacing w:after="200"/>
    </w:pPr>
  </w:style>
  <w:style w:type="paragraph" w:styleId="Heading1">
    <w:name w:val="heading 1"/>
    <w:basedOn w:val="Normal"/>
    <w:next w:val="Normal"/>
    <w:link w:val="Heading1Char"/>
    <w:uiPriority w:val="9"/>
    <w:qFormat/>
    <w:rsid w:val="004248AC"/>
    <w:pPr>
      <w:keepNext/>
      <w:keepLines/>
      <w:spacing w:before="240" w:after="80"/>
      <w:jc w:val="both"/>
      <w:outlineLvl w:val="0"/>
    </w:pPr>
    <w:rPr>
      <w:rFonts w:asciiTheme="majorHAnsi" w:eastAsiaTheme="majorEastAsia" w:hAnsiTheme="majorHAnsi" w:cstheme="majorBidi"/>
      <w:color w:val="083A42" w:themeColor="text2"/>
      <w:sz w:val="48"/>
      <w:szCs w:val="32"/>
    </w:rPr>
  </w:style>
  <w:style w:type="paragraph" w:styleId="Heading2">
    <w:name w:val="heading 2"/>
    <w:basedOn w:val="Normal"/>
    <w:next w:val="Normal"/>
    <w:link w:val="Heading2Char"/>
    <w:uiPriority w:val="9"/>
    <w:unhideWhenUsed/>
    <w:qFormat/>
    <w:rsid w:val="002B44B8"/>
    <w:pPr>
      <w:keepNext/>
      <w:keepLines/>
      <w:spacing w:before="40" w:after="40"/>
      <w:outlineLvl w:val="1"/>
    </w:pPr>
    <w:rPr>
      <w:rFonts w:asciiTheme="majorHAnsi" w:eastAsiaTheme="majorEastAsia" w:hAnsiTheme="majorHAnsi" w:cstheme="majorBidi"/>
      <w:color w:val="BB4E06" w:themeColor="accent3" w:themeTint="BF"/>
      <w:sz w:val="40"/>
      <w:szCs w:val="48"/>
    </w:rPr>
  </w:style>
  <w:style w:type="paragraph" w:styleId="Heading3">
    <w:name w:val="heading 3"/>
    <w:basedOn w:val="Normal"/>
    <w:next w:val="Normal"/>
    <w:link w:val="Heading3Char"/>
    <w:uiPriority w:val="9"/>
    <w:unhideWhenUsed/>
    <w:qFormat/>
    <w:rsid w:val="00A125F3"/>
    <w:pPr>
      <w:keepNext/>
      <w:keepLines/>
      <w:spacing w:before="40" w:after="0"/>
      <w:jc w:val="both"/>
      <w:outlineLvl w:val="2"/>
    </w:pPr>
    <w:rPr>
      <w:rFonts w:asciiTheme="majorHAnsi" w:eastAsiaTheme="majorEastAsia" w:hAnsiTheme="majorHAnsi" w:cstheme="majorBidi"/>
      <w:color w:val="083A42" w:themeColor="text2"/>
      <w:sz w:val="32"/>
      <w:szCs w:val="40"/>
    </w:rPr>
  </w:style>
  <w:style w:type="paragraph" w:styleId="Heading4">
    <w:name w:val="heading 4"/>
    <w:basedOn w:val="Normal"/>
    <w:next w:val="Normal"/>
    <w:link w:val="Heading4Char"/>
    <w:uiPriority w:val="9"/>
    <w:unhideWhenUsed/>
    <w:qFormat/>
    <w:rsid w:val="002B44B8"/>
    <w:pPr>
      <w:keepNext/>
      <w:keepLines/>
      <w:spacing w:before="40" w:after="0"/>
      <w:outlineLvl w:val="3"/>
    </w:pPr>
    <w:rPr>
      <w:rFonts w:asciiTheme="majorHAnsi" w:eastAsiaTheme="majorEastAsia" w:hAnsiTheme="majorHAnsi" w:cstheme="majorBidi"/>
      <w:iCs/>
      <w:color w:val="BB4E06" w:themeColor="accent3" w:themeTint="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83A42" w:themeColor="text2"/>
      <w:sz w:val="26"/>
      <w:szCs w:val="26"/>
    </w:rPr>
  </w:style>
  <w:style w:type="paragraph" w:styleId="Heading6">
    <w:name w:val="heading 6"/>
    <w:basedOn w:val="Normal"/>
    <w:next w:val="Normal"/>
    <w:link w:val="Heading6Char"/>
    <w:uiPriority w:val="9"/>
    <w:unhideWhenUsed/>
    <w:qFormat/>
    <w:rsid w:val="008B7B1E"/>
    <w:pPr>
      <w:keepNext/>
      <w:keepLines/>
      <w:spacing w:before="40" w:after="0"/>
      <w:outlineLvl w:val="5"/>
    </w:pPr>
    <w:rPr>
      <w:rFonts w:asciiTheme="majorHAnsi" w:eastAsiaTheme="majorEastAsia" w:hAnsiTheme="majorHAnsi" w:cstheme="majorBidi"/>
      <w:color w:val="562403" w:themeColor="accent3"/>
    </w:rPr>
  </w:style>
  <w:style w:type="paragraph" w:styleId="Heading7">
    <w:name w:val="heading 7"/>
    <w:basedOn w:val="Normal"/>
    <w:next w:val="Normal"/>
    <w:link w:val="Heading7Char"/>
    <w:uiPriority w:val="9"/>
    <w:unhideWhenUsed/>
    <w:qFormat/>
    <w:rsid w:val="008B7B1E"/>
    <w:pPr>
      <w:keepNext/>
      <w:keepLines/>
      <w:spacing w:before="40" w:after="0"/>
      <w:outlineLvl w:val="6"/>
    </w:pPr>
    <w:rPr>
      <w:rFonts w:asciiTheme="majorHAnsi" w:eastAsiaTheme="majorEastAsia" w:hAnsiTheme="majorHAnsi" w:cstheme="majorBidi"/>
      <w:i/>
      <w:iCs/>
      <w:color w:val="083A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83A42" w:themeColor="text2"/>
      <w:sz w:val="48"/>
      <w:szCs w:val="32"/>
    </w:rPr>
  </w:style>
  <w:style w:type="paragraph" w:styleId="Title">
    <w:name w:val="Title"/>
    <w:basedOn w:val="Normal"/>
    <w:next w:val="Normal"/>
    <w:link w:val="TitleChar"/>
    <w:uiPriority w:val="10"/>
    <w:qFormat/>
    <w:rsid w:val="00697567"/>
    <w:pPr>
      <w:pBdr>
        <w:bottom w:val="single" w:sz="8" w:space="1" w:color="083A42" w:themeColor="text2"/>
      </w:pBdr>
      <w:spacing w:before="3600" w:after="120" w:line="240" w:lineRule="auto"/>
      <w:contextualSpacing/>
      <w:outlineLvl w:val="0"/>
    </w:pPr>
    <w:rPr>
      <w:rFonts w:asciiTheme="majorHAnsi" w:eastAsiaTheme="majorEastAsia" w:hAnsiTheme="majorHAnsi" w:cstheme="majorBidi"/>
      <w:color w:val="083A42"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83A42" w:themeColor="text2"/>
      <w:spacing w:val="-10"/>
      <w:kern w:val="28"/>
      <w:sz w:val="72"/>
      <w:szCs w:val="72"/>
    </w:rPr>
  </w:style>
  <w:style w:type="paragraph" w:styleId="Subtitle">
    <w:name w:val="Subtitle"/>
    <w:basedOn w:val="Normal"/>
    <w:next w:val="Normal"/>
    <w:link w:val="SubtitleChar"/>
    <w:uiPriority w:val="11"/>
    <w:qFormat/>
    <w:rsid w:val="002B44B8"/>
    <w:pPr>
      <w:numPr>
        <w:ilvl w:val="1"/>
      </w:numPr>
    </w:pPr>
    <w:rPr>
      <w:rFonts w:eastAsiaTheme="minorEastAsia"/>
      <w:color w:val="71BAAF" w:themeColor="accent2" w:themeTint="80"/>
      <w:sz w:val="40"/>
    </w:rPr>
  </w:style>
  <w:style w:type="character" w:customStyle="1" w:styleId="SubtitleChar">
    <w:name w:val="Subtitle Char"/>
    <w:basedOn w:val="DefaultParagraphFont"/>
    <w:link w:val="Subtitle"/>
    <w:uiPriority w:val="11"/>
    <w:rsid w:val="002B44B8"/>
    <w:rPr>
      <w:rFonts w:eastAsiaTheme="minorEastAsia"/>
      <w:color w:val="71BAAF" w:themeColor="accent2" w:themeTint="80"/>
      <w:sz w:val="40"/>
    </w:rPr>
  </w:style>
  <w:style w:type="character" w:customStyle="1" w:styleId="Heading2Char">
    <w:name w:val="Heading 2 Char"/>
    <w:basedOn w:val="DefaultParagraphFont"/>
    <w:link w:val="Heading2"/>
    <w:uiPriority w:val="9"/>
    <w:rsid w:val="002B44B8"/>
    <w:rPr>
      <w:rFonts w:asciiTheme="majorHAnsi" w:eastAsiaTheme="majorEastAsia" w:hAnsiTheme="majorHAnsi" w:cstheme="majorBidi"/>
      <w:color w:val="BB4E06" w:themeColor="accent3" w:themeTint="BF"/>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83A42" w:themeColor="text2"/>
      <w:sz w:val="32"/>
      <w:szCs w:val="40"/>
    </w:rPr>
  </w:style>
  <w:style w:type="character" w:customStyle="1" w:styleId="Heading4Char">
    <w:name w:val="Heading 4 Char"/>
    <w:basedOn w:val="DefaultParagraphFont"/>
    <w:link w:val="Heading4"/>
    <w:uiPriority w:val="9"/>
    <w:rsid w:val="002B44B8"/>
    <w:rPr>
      <w:rFonts w:asciiTheme="majorHAnsi" w:eastAsiaTheme="majorEastAsia" w:hAnsiTheme="majorHAnsi" w:cstheme="majorBidi"/>
      <w:iCs/>
      <w:color w:val="BB4E06" w:themeColor="accent3" w:themeTint="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83A42"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DB39EC"/>
    <w:rPr>
      <w:rFonts w:asciiTheme="minorHAnsi" w:hAnsiTheme="minorHAnsi"/>
      <w:b/>
      <w:bCs/>
      <w:sz w:val="22"/>
      <w:szCs w:val="20"/>
    </w:rPr>
  </w:style>
  <w:style w:type="character" w:styleId="Emphasis">
    <w:name w:val="Emphasis"/>
    <w:uiPriority w:val="20"/>
    <w:qFormat/>
    <w:rsid w:val="00A331FD"/>
    <w:rPr>
      <w:b/>
      <w:bCs/>
      <w:sz w:val="28"/>
      <w:szCs w:val="28"/>
    </w:rPr>
  </w:style>
  <w:style w:type="paragraph" w:styleId="ListParagraph">
    <w:name w:val="List Paragraph"/>
    <w:basedOn w:val="Normal"/>
    <w:link w:val="ListParagraphChar"/>
    <w:uiPriority w:val="34"/>
    <w:qFormat/>
    <w:rsid w:val="004632E9"/>
    <w:pPr>
      <w:numPr>
        <w:numId w:val="5"/>
      </w:numPr>
      <w:contextualSpacing/>
    </w:pPr>
  </w:style>
  <w:style w:type="character" w:styleId="Hyperlink">
    <w:name w:val="Hyperlink"/>
    <w:basedOn w:val="DefaultParagraphFont"/>
    <w:uiPriority w:val="99"/>
    <w:unhideWhenUsed/>
    <w:rsid w:val="00711349"/>
    <w:rPr>
      <w:color w:val="0563C1" w:themeColor="hyperlink"/>
      <w:u w:val="single"/>
    </w:rPr>
  </w:style>
  <w:style w:type="table" w:styleId="TableGrid">
    <w:name w:val="Table Grid"/>
    <w:basedOn w:val="TableNormal"/>
    <w:uiPriority w:val="5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4276B"/>
    <w:pPr>
      <w:keepNext/>
      <w:spacing w:after="120" w:line="240" w:lineRule="auto"/>
    </w:pPr>
    <w:rPr>
      <w:i/>
      <w:iCs/>
      <w:color w:val="408479" w:themeColor="accent2" w:themeTint="BF"/>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basedOn w:val="Normal"/>
    <w:link w:val="NoSpacingChar"/>
    <w:uiPriority w:val="1"/>
    <w:qFormat/>
    <w:rsid w:val="00A331FD"/>
    <w:pPr>
      <w:spacing w:after="0"/>
    </w:pPr>
  </w:style>
  <w:style w:type="character" w:customStyle="1" w:styleId="NoSpacingChar">
    <w:name w:val="No Spacing Char"/>
    <w:basedOn w:val="DefaultParagraphFont"/>
    <w:link w:val="NoSpacing"/>
    <w:uiPriority w:val="1"/>
    <w:rsid w:val="00671D1D"/>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7B6DB5"/>
    <w:pPr>
      <w:tabs>
        <w:tab w:val="right" w:leader="dot" w:pos="9016"/>
      </w:tabs>
      <w:spacing w:after="100"/>
      <w:jc w:val="both"/>
    </w:pPr>
  </w:style>
  <w:style w:type="paragraph" w:styleId="TOC2">
    <w:name w:val="toc 2"/>
    <w:basedOn w:val="Normal"/>
    <w:next w:val="Normal"/>
    <w:autoRedefine/>
    <w:uiPriority w:val="39"/>
    <w:unhideWhenUsed/>
    <w:rsid w:val="0031177A"/>
    <w:pPr>
      <w:tabs>
        <w:tab w:val="right" w:leader="dot" w:pos="9016"/>
      </w:tabs>
      <w:spacing w:after="100"/>
      <w:ind w:left="220"/>
    </w:pPr>
  </w:style>
  <w:style w:type="paragraph" w:styleId="TOC3">
    <w:name w:val="toc 3"/>
    <w:basedOn w:val="Normal"/>
    <w:next w:val="Normal"/>
    <w:autoRedefine/>
    <w:uiPriority w:val="39"/>
    <w:unhideWhenUsed/>
    <w:rsid w:val="00E60B19"/>
    <w:pPr>
      <w:tabs>
        <w:tab w:val="right" w:leader="dot" w:pos="9016"/>
      </w:tabs>
      <w:spacing w:after="100"/>
      <w:ind w:left="440"/>
      <w:jc w:val="both"/>
    </w:pPr>
  </w:style>
  <w:style w:type="paragraph" w:customStyle="1" w:styleId="Address">
    <w:name w:val="Address"/>
    <w:basedOn w:val="Subtitle"/>
    <w:qFormat/>
    <w:rsid w:val="002B44B8"/>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1E3E39" w:themeColor="accent2"/>
        <w:left w:val="single" w:sz="4" w:space="0" w:color="1E3E39" w:themeColor="accent2"/>
        <w:bottom w:val="single" w:sz="4" w:space="0" w:color="1E3E39" w:themeColor="accent2"/>
        <w:right w:val="single" w:sz="4" w:space="0" w:color="1E3E39" w:themeColor="accent2"/>
      </w:tblBorders>
    </w:tblPr>
    <w:tblStylePr w:type="firstRow">
      <w:rPr>
        <w:b/>
        <w:bCs/>
        <w:color w:val="FFFFFF" w:themeColor="background1"/>
      </w:rPr>
      <w:tblPr/>
      <w:tcPr>
        <w:shd w:val="clear" w:color="auto" w:fill="1E3E39" w:themeFill="accent2"/>
      </w:tcPr>
    </w:tblStylePr>
    <w:tblStylePr w:type="lastRow">
      <w:rPr>
        <w:b/>
        <w:bCs/>
      </w:rPr>
      <w:tblPr/>
      <w:tcPr>
        <w:tcBorders>
          <w:top w:val="double" w:sz="4" w:space="0" w:color="1E3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E39" w:themeColor="accent2"/>
          <w:right w:val="single" w:sz="4" w:space="0" w:color="1E3E39" w:themeColor="accent2"/>
        </w:tcBorders>
      </w:tcPr>
    </w:tblStylePr>
    <w:tblStylePr w:type="band1Horz">
      <w:tblPr/>
      <w:tcPr>
        <w:tcBorders>
          <w:top w:val="single" w:sz="4" w:space="0" w:color="1E3E39" w:themeColor="accent2"/>
          <w:bottom w:val="single" w:sz="4" w:space="0" w:color="1E3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E39" w:themeColor="accent2"/>
          <w:left w:val="nil"/>
        </w:tcBorders>
      </w:tcPr>
    </w:tblStylePr>
    <w:tblStylePr w:type="swCell">
      <w:tblPr/>
      <w:tcPr>
        <w:tcBorders>
          <w:top w:val="double" w:sz="4" w:space="0" w:color="1E3E39" w:themeColor="accent2"/>
          <w:right w:val="nil"/>
        </w:tcBorders>
      </w:tcPr>
    </w:tblStylePr>
  </w:style>
  <w:style w:type="table" w:styleId="ListTable3-Accent3">
    <w:name w:val="List Table 3 Accent 3"/>
    <w:basedOn w:val="TableNormal"/>
    <w:uiPriority w:val="48"/>
    <w:rsid w:val="002B44B8"/>
    <w:pPr>
      <w:spacing w:after="0" w:line="240" w:lineRule="auto"/>
    </w:pPr>
    <w:tblPr>
      <w:tblStyleRowBandSize w:val="1"/>
      <w:tblStyleColBandSize w:val="1"/>
      <w:tblBorders>
        <w:top w:val="single" w:sz="4" w:space="0" w:color="562403" w:themeColor="accent3"/>
        <w:left w:val="single" w:sz="4" w:space="0" w:color="562403" w:themeColor="accent3"/>
        <w:bottom w:val="single" w:sz="4" w:space="0" w:color="562403" w:themeColor="accent3"/>
        <w:right w:val="single" w:sz="4" w:space="0" w:color="562403" w:themeColor="accent3"/>
      </w:tblBorders>
    </w:tblPr>
    <w:tblStylePr w:type="firstRow">
      <w:rPr>
        <w:b/>
        <w:bCs/>
        <w:color w:val="FFFFFF" w:themeColor="background1"/>
      </w:rPr>
      <w:tblPr/>
      <w:tcPr>
        <w:shd w:val="clear" w:color="auto" w:fill="BB4E06" w:themeFill="accent3" w:themeFillTint="BF"/>
      </w:tcPr>
    </w:tblStylePr>
    <w:tblStylePr w:type="lastRow">
      <w:rPr>
        <w:b/>
        <w:bCs/>
      </w:rPr>
      <w:tblPr/>
      <w:tcPr>
        <w:tcBorders>
          <w:top w:val="double" w:sz="4" w:space="0" w:color="5624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403" w:themeColor="accent3"/>
          <w:right w:val="single" w:sz="4" w:space="0" w:color="562403" w:themeColor="accent3"/>
        </w:tcBorders>
      </w:tcPr>
    </w:tblStylePr>
    <w:tblStylePr w:type="band1Horz">
      <w:tblPr/>
      <w:tcPr>
        <w:tcBorders>
          <w:top w:val="single" w:sz="4" w:space="0" w:color="562403" w:themeColor="accent3"/>
          <w:bottom w:val="single" w:sz="4" w:space="0" w:color="5624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403" w:themeColor="accent3"/>
          <w:left w:val="nil"/>
        </w:tcBorders>
      </w:tcPr>
    </w:tblStylePr>
    <w:tblStylePr w:type="swCell">
      <w:tblPr/>
      <w:tcPr>
        <w:tcBorders>
          <w:top w:val="double" w:sz="4" w:space="0" w:color="562403" w:themeColor="accent3"/>
          <w:right w:val="nil"/>
        </w:tcBorders>
      </w:tcPr>
    </w:tblStylePr>
  </w:style>
  <w:style w:type="paragraph" w:styleId="IntenseQuote">
    <w:name w:val="Intense Quote"/>
    <w:basedOn w:val="Normal"/>
    <w:next w:val="Normal"/>
    <w:link w:val="IntenseQuoteChar"/>
    <w:uiPriority w:val="30"/>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spacing w:before="360" w:after="360"/>
      <w:ind w:left="864" w:right="864"/>
      <w:jc w:val="center"/>
    </w:pPr>
    <w:rPr>
      <w:i/>
      <w:iCs/>
    </w:rPr>
  </w:style>
  <w:style w:type="character" w:customStyle="1" w:styleId="IntenseQuoteChar">
    <w:name w:val="Intense Quote Char"/>
    <w:basedOn w:val="DefaultParagraphFont"/>
    <w:link w:val="IntenseQuote"/>
    <w:uiPriority w:val="30"/>
    <w:rsid w:val="002B44B8"/>
    <w:rPr>
      <w:i/>
      <w:iCs/>
      <w:shd w:val="clear" w:color="auto" w:fill="B8DCD7" w:themeFill="accent2" w:themeFillTint="40"/>
    </w:rPr>
  </w:style>
  <w:style w:type="paragraph" w:customStyle="1" w:styleId="Calloutbox">
    <w:name w:val="Call out box"/>
    <w:basedOn w:val="Normal"/>
    <w:qFormat/>
    <w:rsid w:val="002B44B8"/>
    <w:pPr>
      <w:pBdr>
        <w:top w:val="single" w:sz="4" w:space="6" w:color="B8DCD7" w:themeColor="accent2" w:themeTint="40"/>
        <w:left w:val="single" w:sz="4" w:space="4" w:color="B8DCD7" w:themeColor="accent2" w:themeTint="40"/>
        <w:bottom w:val="single" w:sz="4" w:space="6" w:color="B8DCD7" w:themeColor="accent2" w:themeTint="40"/>
        <w:right w:val="single" w:sz="4" w:space="4" w:color="B8DCD7" w:themeColor="accent2" w:themeTint="40"/>
      </w:pBdr>
      <w:shd w:val="clear" w:color="auto" w:fill="B8DCD7" w:themeFill="accent2" w:themeFillTint="40"/>
      <w:contextualSpacing/>
    </w:pPr>
  </w:style>
  <w:style w:type="character" w:customStyle="1" w:styleId="Heading6Char">
    <w:name w:val="Heading 6 Char"/>
    <w:basedOn w:val="DefaultParagraphFont"/>
    <w:link w:val="Heading6"/>
    <w:uiPriority w:val="9"/>
    <w:rsid w:val="008B7B1E"/>
    <w:rPr>
      <w:rFonts w:asciiTheme="majorHAnsi" w:eastAsiaTheme="majorEastAsia" w:hAnsiTheme="majorHAnsi" w:cstheme="majorBidi"/>
      <w:color w:val="562403"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55AD9F" w:themeColor="accent2" w:themeTint="99"/>
        <w:left w:val="single" w:sz="4" w:space="0" w:color="55AD9F" w:themeColor="accent2" w:themeTint="99"/>
        <w:bottom w:val="single" w:sz="4" w:space="0" w:color="55AD9F" w:themeColor="accent2" w:themeTint="99"/>
        <w:right w:val="single" w:sz="4" w:space="0" w:color="55AD9F" w:themeColor="accent2" w:themeTint="99"/>
        <w:insideH w:val="single" w:sz="4" w:space="0" w:color="55AD9F" w:themeColor="accent2" w:themeTint="99"/>
        <w:insideV w:val="single" w:sz="4" w:space="0" w:color="55AD9F" w:themeColor="accent2" w:themeTint="99"/>
      </w:tblBorders>
    </w:tblPr>
    <w:tblStylePr w:type="firstRow">
      <w:rPr>
        <w:b/>
        <w:bCs/>
        <w:color w:val="FFFFFF" w:themeColor="background1"/>
      </w:rPr>
      <w:tblPr/>
      <w:tcPr>
        <w:tcBorders>
          <w:top w:val="single" w:sz="4" w:space="0" w:color="1E3E39" w:themeColor="accent2"/>
          <w:left w:val="single" w:sz="4" w:space="0" w:color="1E3E39" w:themeColor="accent2"/>
          <w:bottom w:val="single" w:sz="4" w:space="0" w:color="1E3E39" w:themeColor="accent2"/>
          <w:right w:val="single" w:sz="4" w:space="0" w:color="1E3E39" w:themeColor="accent2"/>
          <w:insideH w:val="nil"/>
          <w:insideV w:val="nil"/>
        </w:tcBorders>
        <w:shd w:val="clear" w:color="auto" w:fill="1E3E39" w:themeFill="accent2"/>
      </w:tcPr>
    </w:tblStylePr>
    <w:tblStylePr w:type="lastRow">
      <w:rPr>
        <w:b/>
        <w:bCs/>
      </w:rPr>
      <w:tblPr/>
      <w:tcPr>
        <w:tcBorders>
          <w:top w:val="double" w:sz="4" w:space="0" w:color="1E3E39" w:themeColor="accent2"/>
        </w:tcBorders>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table" w:styleId="GridTable1Light-Accent2">
    <w:name w:val="Grid Table 1 Light Accent 2"/>
    <w:basedOn w:val="TableNormal"/>
    <w:uiPriority w:val="46"/>
    <w:rsid w:val="00FE6D64"/>
    <w:pPr>
      <w:spacing w:after="0" w:line="240" w:lineRule="auto"/>
    </w:pPr>
    <w:tblPr>
      <w:tblStyleRowBandSize w:val="1"/>
      <w:tblStyleColBandSize w:val="1"/>
      <w:tblBorders>
        <w:top w:val="single" w:sz="4" w:space="0" w:color="8EC8BF" w:themeColor="accent2" w:themeTint="66"/>
        <w:left w:val="single" w:sz="4" w:space="0" w:color="8EC8BF" w:themeColor="accent2" w:themeTint="66"/>
        <w:bottom w:val="single" w:sz="4" w:space="0" w:color="8EC8BF" w:themeColor="accent2" w:themeTint="66"/>
        <w:right w:val="single" w:sz="4" w:space="0" w:color="8EC8BF" w:themeColor="accent2" w:themeTint="66"/>
        <w:insideH w:val="single" w:sz="4" w:space="0" w:color="8EC8BF" w:themeColor="accent2" w:themeTint="66"/>
        <w:insideV w:val="single" w:sz="4" w:space="0" w:color="8EC8BF" w:themeColor="accent2" w:themeTint="66"/>
      </w:tblBorders>
    </w:tblPr>
    <w:tblStylePr w:type="firstRow">
      <w:rPr>
        <w:b/>
        <w:bCs/>
      </w:rPr>
      <w:tblPr/>
      <w:tcPr>
        <w:shd w:val="clear" w:color="auto" w:fill="B8DCD7" w:themeFill="accent2" w:themeFillTint="40"/>
      </w:tcPr>
    </w:tblStylePr>
    <w:tblStylePr w:type="lastRow">
      <w:rPr>
        <w:b/>
        <w:bCs/>
      </w:rPr>
      <w:tblPr/>
      <w:tcPr>
        <w:tcBorders>
          <w:top w:val="double" w:sz="2" w:space="0" w:color="55AD9F"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2F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2F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2F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2F49" w:themeFill="accent1"/>
      </w:tcPr>
    </w:tblStylePr>
    <w:tblStylePr w:type="band1Vert">
      <w:tblPr/>
      <w:tcPr>
        <w:shd w:val="clear" w:color="auto" w:fill="84A8D5" w:themeFill="accent1" w:themeFillTint="66"/>
      </w:tcPr>
    </w:tblStylePr>
    <w:tblStylePr w:type="band1Horz">
      <w:tblPr/>
      <w:tcPr>
        <w:shd w:val="clear" w:color="auto" w:fill="84A8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467DC0" w:themeColor="accent1" w:themeTint="99"/>
        <w:left w:val="single" w:sz="4" w:space="0" w:color="467DC0" w:themeColor="accent1" w:themeTint="99"/>
        <w:bottom w:val="single" w:sz="4" w:space="0" w:color="467DC0" w:themeColor="accent1" w:themeTint="99"/>
        <w:right w:val="single" w:sz="4" w:space="0" w:color="467DC0" w:themeColor="accent1" w:themeTint="99"/>
        <w:insideH w:val="single" w:sz="4" w:space="0" w:color="467DC0" w:themeColor="accent1" w:themeTint="99"/>
        <w:insideV w:val="single" w:sz="4" w:space="0" w:color="467DC0" w:themeColor="accent1" w:themeTint="99"/>
      </w:tblBorders>
    </w:tblPr>
    <w:tblStylePr w:type="firstRow">
      <w:rPr>
        <w:b/>
        <w:bCs/>
        <w:color w:val="FFFFFF" w:themeColor="background1"/>
      </w:rPr>
      <w:tblPr/>
      <w:tcPr>
        <w:tcBorders>
          <w:top w:val="single" w:sz="4" w:space="0" w:color="192F49" w:themeColor="accent1"/>
          <w:left w:val="single" w:sz="4" w:space="0" w:color="192F49" w:themeColor="accent1"/>
          <w:bottom w:val="single" w:sz="4" w:space="0" w:color="192F49" w:themeColor="accent1"/>
          <w:right w:val="single" w:sz="4" w:space="0" w:color="192F49" w:themeColor="accent1"/>
          <w:insideH w:val="nil"/>
          <w:insideV w:val="nil"/>
        </w:tcBorders>
        <w:shd w:val="clear" w:color="auto" w:fill="192F49" w:themeFill="accent1"/>
      </w:tcPr>
    </w:tblStylePr>
    <w:tblStylePr w:type="lastRow">
      <w:rPr>
        <w:b/>
        <w:bCs/>
      </w:rPr>
      <w:tblPr/>
      <w:tcPr>
        <w:tcBorders>
          <w:top w:val="double" w:sz="4" w:space="0" w:color="192F49" w:themeColor="accent1"/>
        </w:tcBorders>
      </w:tcPr>
    </w:tblStylePr>
    <w:tblStylePr w:type="firstCol">
      <w:rPr>
        <w:b/>
        <w:bCs/>
      </w:rPr>
    </w:tblStylePr>
    <w:tblStylePr w:type="lastCol">
      <w:rPr>
        <w:b/>
        <w:bCs/>
      </w:rPr>
    </w:tblStylePr>
    <w:tblStylePr w:type="band1Vert">
      <w:tblPr/>
      <w:tcPr>
        <w:shd w:val="clear" w:color="auto" w:fill="C1D3EA" w:themeFill="accent1" w:themeFillTint="33"/>
      </w:tcPr>
    </w:tblStylePr>
    <w:tblStylePr w:type="band1Horz">
      <w:tblPr/>
      <w:tcPr>
        <w:shd w:val="clear" w:color="auto" w:fill="C1D3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857C7C" w:themeColor="accent4" w:themeTint="99"/>
        <w:left w:val="single" w:sz="4" w:space="0" w:color="857C7C" w:themeColor="accent4" w:themeTint="99"/>
        <w:bottom w:val="single" w:sz="4" w:space="0" w:color="857C7C" w:themeColor="accent4" w:themeTint="99"/>
        <w:right w:val="single" w:sz="4" w:space="0" w:color="857C7C" w:themeColor="accent4" w:themeTint="99"/>
        <w:insideH w:val="single" w:sz="4" w:space="0" w:color="857C7C" w:themeColor="accent4" w:themeTint="99"/>
        <w:insideV w:val="single" w:sz="4" w:space="0" w:color="857C7C" w:themeColor="accent4" w:themeTint="99"/>
      </w:tblBorders>
    </w:tblPr>
    <w:tblStylePr w:type="firstRow">
      <w:rPr>
        <w:b/>
        <w:bCs/>
        <w:color w:val="FFFFFF" w:themeColor="background1"/>
      </w:rPr>
      <w:tblPr/>
      <w:tcPr>
        <w:tcBorders>
          <w:top w:val="single" w:sz="4" w:space="0" w:color="2E2B2B" w:themeColor="accent4"/>
          <w:left w:val="single" w:sz="4" w:space="0" w:color="2E2B2B" w:themeColor="accent4"/>
          <w:bottom w:val="single" w:sz="4" w:space="0" w:color="2E2B2B" w:themeColor="accent4"/>
          <w:right w:val="single" w:sz="4" w:space="0" w:color="2E2B2B" w:themeColor="accent4"/>
          <w:insideH w:val="nil"/>
          <w:insideV w:val="nil"/>
        </w:tcBorders>
        <w:shd w:val="clear" w:color="auto" w:fill="2E2B2B" w:themeFill="accent4"/>
      </w:tcPr>
    </w:tblStylePr>
    <w:tblStylePr w:type="lastRow">
      <w:rPr>
        <w:b/>
        <w:bCs/>
      </w:rPr>
      <w:tblPr/>
      <w:tcPr>
        <w:tcBorders>
          <w:top w:val="double" w:sz="4" w:space="0" w:color="2E2B2B" w:themeColor="accent4"/>
        </w:tcBorders>
      </w:tcPr>
    </w:tblStylePr>
    <w:tblStylePr w:type="firstCol">
      <w:rPr>
        <w:b/>
        <w:bCs/>
      </w:rPr>
    </w:tblStylePr>
    <w:tblStylePr w:type="lastCol">
      <w:rPr>
        <w:b/>
        <w:bCs/>
      </w:rPr>
    </w:tblStylePr>
    <w:tblStylePr w:type="band1Vert">
      <w:tblPr/>
      <w:tcPr>
        <w:shd w:val="clear" w:color="auto" w:fill="D6D3D3" w:themeFill="accent4" w:themeFillTint="33"/>
      </w:tcPr>
    </w:tblStylePr>
    <w:tblStylePr w:type="band1Horz">
      <w:tblPr/>
      <w:tcPr>
        <w:shd w:val="clear" w:color="auto" w:fill="D6D3D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F6680A" w:themeColor="accent3" w:themeTint="99"/>
        <w:left w:val="single" w:sz="4" w:space="0" w:color="F6680A" w:themeColor="accent3" w:themeTint="99"/>
        <w:bottom w:val="single" w:sz="4" w:space="0" w:color="F6680A" w:themeColor="accent3" w:themeTint="99"/>
        <w:right w:val="single" w:sz="4" w:space="0" w:color="F6680A" w:themeColor="accent3" w:themeTint="99"/>
        <w:insideH w:val="single" w:sz="4" w:space="0" w:color="F6680A" w:themeColor="accent3" w:themeTint="99"/>
        <w:insideV w:val="single" w:sz="4" w:space="0" w:color="F6680A" w:themeColor="accent3" w:themeTint="99"/>
      </w:tblBorders>
    </w:tblPr>
    <w:tblStylePr w:type="firstRow">
      <w:rPr>
        <w:b/>
        <w:bCs/>
        <w:color w:val="FFFFFF" w:themeColor="background1"/>
      </w:rPr>
      <w:tblPr/>
      <w:tcPr>
        <w:tcBorders>
          <w:top w:val="single" w:sz="4" w:space="0" w:color="562403" w:themeColor="accent3"/>
          <w:left w:val="single" w:sz="4" w:space="0" w:color="562403" w:themeColor="accent3"/>
          <w:bottom w:val="single" w:sz="4" w:space="0" w:color="562403" w:themeColor="accent3"/>
          <w:right w:val="single" w:sz="4" w:space="0" w:color="562403" w:themeColor="accent3"/>
          <w:insideH w:val="nil"/>
          <w:insideV w:val="nil"/>
        </w:tcBorders>
        <w:shd w:val="clear" w:color="auto" w:fill="562403" w:themeFill="accent3"/>
      </w:tcPr>
    </w:tblStylePr>
    <w:tblStylePr w:type="lastRow">
      <w:rPr>
        <w:b/>
        <w:bCs/>
      </w:rPr>
      <w:tblPr/>
      <w:tcPr>
        <w:tcBorders>
          <w:top w:val="double" w:sz="4" w:space="0" w:color="562403" w:themeColor="accent3"/>
        </w:tcBorders>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paragraph" w:customStyle="1" w:styleId="Authoranddate">
    <w:name w:val="Author and date"/>
    <w:basedOn w:val="Subtitle"/>
    <w:link w:val="AuthoranddateChar"/>
    <w:qFormat/>
    <w:rsid w:val="002B44B8"/>
    <w:rPr>
      <w:color w:val="408479" w:themeColor="accent2" w:themeTint="BF"/>
      <w:szCs w:val="40"/>
    </w:rPr>
  </w:style>
  <w:style w:type="character" w:customStyle="1" w:styleId="AuthoranddateChar">
    <w:name w:val="Author and date Char"/>
    <w:basedOn w:val="SubtitleChar"/>
    <w:link w:val="Authoranddate"/>
    <w:rsid w:val="002B44B8"/>
    <w:rPr>
      <w:rFonts w:eastAsiaTheme="minorEastAsia"/>
      <w:color w:val="408479" w:themeColor="accent2" w:themeTint="BF"/>
      <w:sz w:val="40"/>
      <w:szCs w:val="40"/>
    </w:rPr>
  </w:style>
  <w:style w:type="character" w:customStyle="1" w:styleId="Heading7Char">
    <w:name w:val="Heading 7 Char"/>
    <w:basedOn w:val="DefaultParagraphFont"/>
    <w:link w:val="Heading7"/>
    <w:uiPriority w:val="9"/>
    <w:rsid w:val="008B7B1E"/>
    <w:rPr>
      <w:rFonts w:asciiTheme="majorHAnsi" w:eastAsiaTheme="majorEastAsia" w:hAnsiTheme="majorHAnsi" w:cstheme="majorBidi"/>
      <w:i/>
      <w:iCs/>
      <w:color w:val="083A42" w:themeColor="text2"/>
    </w:rPr>
  </w:style>
  <w:style w:type="paragraph" w:styleId="ListBullet">
    <w:name w:val="List Bullet"/>
    <w:basedOn w:val="Normal"/>
    <w:uiPriority w:val="99"/>
    <w:unhideWhenUsed/>
    <w:rsid w:val="00F8391D"/>
    <w:pPr>
      <w:spacing w:after="120" w:line="240" w:lineRule="auto"/>
      <w:ind w:left="369" w:hanging="369"/>
      <w:contextualSpacing/>
    </w:pPr>
    <w:rPr>
      <w:rFonts w:eastAsia="Times New Roman" w:cs="Times New Roman"/>
      <w:sz w:val="24"/>
      <w:szCs w:val="24"/>
    </w:rPr>
  </w:style>
  <w:style w:type="table" w:styleId="GridTable2-Accent2">
    <w:name w:val="Grid Table 2 Accent 2"/>
    <w:basedOn w:val="TableNormal"/>
    <w:uiPriority w:val="47"/>
    <w:rsid w:val="002421AC"/>
    <w:pPr>
      <w:spacing w:after="0" w:line="240" w:lineRule="auto"/>
    </w:pPr>
    <w:tblPr>
      <w:tblStyleRowBandSize w:val="1"/>
      <w:tblStyleColBandSize w:val="1"/>
      <w:tblBorders>
        <w:top w:val="single" w:sz="2" w:space="0" w:color="55AD9F" w:themeColor="accent2" w:themeTint="99"/>
        <w:bottom w:val="single" w:sz="2" w:space="0" w:color="55AD9F" w:themeColor="accent2" w:themeTint="99"/>
        <w:insideH w:val="single" w:sz="2" w:space="0" w:color="55AD9F" w:themeColor="accent2" w:themeTint="99"/>
        <w:insideV w:val="single" w:sz="2" w:space="0" w:color="55AD9F" w:themeColor="accent2" w:themeTint="99"/>
      </w:tblBorders>
    </w:tblPr>
    <w:tblStylePr w:type="firstRow">
      <w:rPr>
        <w:b/>
        <w:bCs/>
      </w:rPr>
      <w:tblPr/>
      <w:tcPr>
        <w:tcBorders>
          <w:top w:val="nil"/>
          <w:bottom w:val="single" w:sz="12" w:space="0" w:color="55AD9F" w:themeColor="accent2" w:themeTint="99"/>
          <w:insideH w:val="nil"/>
          <w:insideV w:val="nil"/>
        </w:tcBorders>
        <w:shd w:val="clear" w:color="auto" w:fill="FFFFFF" w:themeFill="background1"/>
      </w:tcPr>
    </w:tblStylePr>
    <w:tblStylePr w:type="lastRow">
      <w:rPr>
        <w:b/>
        <w:bCs/>
      </w:rPr>
      <w:tblPr/>
      <w:tcPr>
        <w:tcBorders>
          <w:top w:val="double" w:sz="2" w:space="0" w:color="55AD9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3DF" w:themeFill="accent2" w:themeFillTint="33"/>
      </w:tcPr>
    </w:tblStylePr>
    <w:tblStylePr w:type="band1Horz">
      <w:tblPr/>
      <w:tcPr>
        <w:shd w:val="clear" w:color="auto" w:fill="C6E3DF" w:themeFill="accent2" w:themeFillTint="33"/>
      </w:tcPr>
    </w:tblStylePr>
  </w:style>
  <w:style w:type="paragraph" w:styleId="ListNumber">
    <w:name w:val="List Number"/>
    <w:basedOn w:val="Normal"/>
    <w:uiPriority w:val="99"/>
    <w:qFormat/>
    <w:rsid w:val="00FE6D64"/>
    <w:pPr>
      <w:numPr>
        <w:numId w:val="1"/>
      </w:numPr>
      <w:spacing w:line="276" w:lineRule="auto"/>
    </w:pPr>
    <w:rPr>
      <w:rFonts w:ascii="Arial" w:eastAsia="Calibri" w:hAnsi="Arial" w:cs="Times New Roman"/>
    </w:rPr>
  </w:style>
  <w:style w:type="paragraph" w:styleId="ListNumber2">
    <w:name w:val="List Number 2"/>
    <w:basedOn w:val="Normal"/>
    <w:uiPriority w:val="99"/>
    <w:rsid w:val="00FE6D64"/>
    <w:pPr>
      <w:numPr>
        <w:ilvl w:val="1"/>
        <w:numId w:val="1"/>
      </w:numPr>
      <w:spacing w:line="276" w:lineRule="auto"/>
    </w:pPr>
    <w:rPr>
      <w:rFonts w:ascii="Arial" w:eastAsia="Calibri" w:hAnsi="Arial" w:cs="Times New Roman"/>
    </w:rPr>
  </w:style>
  <w:style w:type="paragraph" w:styleId="ListNumber3">
    <w:name w:val="List Number 3"/>
    <w:basedOn w:val="Normal"/>
    <w:uiPriority w:val="99"/>
    <w:rsid w:val="00FE6D64"/>
    <w:pPr>
      <w:numPr>
        <w:ilvl w:val="2"/>
        <w:numId w:val="1"/>
      </w:numPr>
      <w:spacing w:line="276" w:lineRule="auto"/>
    </w:pPr>
    <w:rPr>
      <w:rFonts w:ascii="Arial" w:eastAsia="Calibri" w:hAnsi="Arial" w:cs="Times New Roman"/>
    </w:rPr>
  </w:style>
  <w:style w:type="paragraph" w:styleId="ListNumber4">
    <w:name w:val="List Number 4"/>
    <w:basedOn w:val="Normal"/>
    <w:uiPriority w:val="99"/>
    <w:rsid w:val="00FE6D64"/>
    <w:pPr>
      <w:numPr>
        <w:ilvl w:val="3"/>
        <w:numId w:val="1"/>
      </w:numPr>
      <w:spacing w:line="276" w:lineRule="auto"/>
    </w:pPr>
    <w:rPr>
      <w:rFonts w:ascii="Arial" w:eastAsia="Calibri" w:hAnsi="Arial" w:cs="Times New Roman"/>
    </w:rPr>
  </w:style>
  <w:style w:type="paragraph" w:styleId="ListNumber5">
    <w:name w:val="List Number 5"/>
    <w:basedOn w:val="Normal"/>
    <w:uiPriority w:val="99"/>
    <w:rsid w:val="00FE6D64"/>
    <w:pPr>
      <w:numPr>
        <w:ilvl w:val="4"/>
        <w:numId w:val="1"/>
      </w:numPr>
      <w:spacing w:line="276" w:lineRule="auto"/>
    </w:pPr>
    <w:rPr>
      <w:rFonts w:ascii="Arial" w:eastAsia="Calibri" w:hAnsi="Arial" w:cs="Times New Roman"/>
    </w:rPr>
  </w:style>
  <w:style w:type="character" w:customStyle="1" w:styleId="Advisorytext">
    <w:name w:val="Advisory text"/>
    <w:basedOn w:val="DefaultParagraphFont"/>
    <w:uiPriority w:val="99"/>
    <w:rsid w:val="00FE6D64"/>
    <w:rPr>
      <w:color w:val="FF0000"/>
    </w:rPr>
  </w:style>
  <w:style w:type="character" w:styleId="CommentReference">
    <w:name w:val="annotation reference"/>
    <w:basedOn w:val="DefaultParagraphFont"/>
    <w:uiPriority w:val="99"/>
    <w:semiHidden/>
    <w:unhideWhenUsed/>
    <w:rsid w:val="005222A0"/>
    <w:rPr>
      <w:sz w:val="16"/>
      <w:szCs w:val="16"/>
    </w:rPr>
  </w:style>
  <w:style w:type="paragraph" w:styleId="CommentText">
    <w:name w:val="annotation text"/>
    <w:basedOn w:val="Normal"/>
    <w:link w:val="CommentTextChar"/>
    <w:uiPriority w:val="99"/>
    <w:unhideWhenUsed/>
    <w:rsid w:val="005222A0"/>
    <w:pPr>
      <w:spacing w:line="240" w:lineRule="auto"/>
    </w:pPr>
    <w:rPr>
      <w:sz w:val="20"/>
      <w:szCs w:val="20"/>
    </w:rPr>
  </w:style>
  <w:style w:type="character" w:customStyle="1" w:styleId="CommentTextChar">
    <w:name w:val="Comment Text Char"/>
    <w:basedOn w:val="DefaultParagraphFont"/>
    <w:link w:val="CommentText"/>
    <w:uiPriority w:val="99"/>
    <w:rsid w:val="005222A0"/>
    <w:rPr>
      <w:sz w:val="20"/>
      <w:szCs w:val="20"/>
    </w:rPr>
  </w:style>
  <w:style w:type="paragraph" w:styleId="CommentSubject">
    <w:name w:val="annotation subject"/>
    <w:basedOn w:val="CommentText"/>
    <w:next w:val="CommentText"/>
    <w:link w:val="CommentSubjectChar"/>
    <w:uiPriority w:val="99"/>
    <w:semiHidden/>
    <w:unhideWhenUsed/>
    <w:rsid w:val="005222A0"/>
    <w:rPr>
      <w:b/>
      <w:bCs/>
    </w:rPr>
  </w:style>
  <w:style w:type="character" w:customStyle="1" w:styleId="CommentSubjectChar">
    <w:name w:val="Comment Subject Char"/>
    <w:basedOn w:val="CommentTextChar"/>
    <w:link w:val="CommentSubject"/>
    <w:uiPriority w:val="99"/>
    <w:semiHidden/>
    <w:rsid w:val="005222A0"/>
    <w:rPr>
      <w:b/>
      <w:bCs/>
      <w:sz w:val="20"/>
      <w:szCs w:val="20"/>
    </w:rPr>
  </w:style>
  <w:style w:type="character" w:styleId="FootnoteReference">
    <w:name w:val="footnote reference"/>
    <w:basedOn w:val="DefaultParagraphFont"/>
    <w:uiPriority w:val="99"/>
    <w:semiHidden/>
    <w:unhideWhenUsed/>
    <w:rsid w:val="00C04134"/>
    <w:rPr>
      <w:vertAlign w:val="superscript"/>
    </w:rPr>
  </w:style>
  <w:style w:type="paragraph" w:styleId="Revision">
    <w:name w:val="Revision"/>
    <w:hidden/>
    <w:uiPriority w:val="99"/>
    <w:semiHidden/>
    <w:rsid w:val="00D77484"/>
    <w:pPr>
      <w:spacing w:after="0" w:line="240" w:lineRule="auto"/>
    </w:pPr>
  </w:style>
  <w:style w:type="character" w:styleId="FollowedHyperlink">
    <w:name w:val="FollowedHyperlink"/>
    <w:basedOn w:val="DefaultParagraphFont"/>
    <w:uiPriority w:val="99"/>
    <w:semiHidden/>
    <w:unhideWhenUsed/>
    <w:rsid w:val="004035C1"/>
    <w:rPr>
      <w:color w:val="954F72" w:themeColor="followedHyperlink"/>
      <w:u w:val="single"/>
    </w:rPr>
  </w:style>
  <w:style w:type="paragraph" w:styleId="NormalWeb">
    <w:name w:val="Normal (Web)"/>
    <w:basedOn w:val="Normal"/>
    <w:uiPriority w:val="99"/>
    <w:unhideWhenUsed/>
    <w:rsid w:val="004035C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3">
    <w:name w:val="Grid Table 2 Accent 3"/>
    <w:basedOn w:val="TableNormal"/>
    <w:uiPriority w:val="47"/>
    <w:rsid w:val="00763689"/>
    <w:pPr>
      <w:spacing w:after="0" w:line="240" w:lineRule="auto"/>
    </w:pPr>
    <w:tblPr>
      <w:tblStyleRowBandSize w:val="1"/>
      <w:tblStyleColBandSize w:val="1"/>
      <w:tblBorders>
        <w:top w:val="single" w:sz="2" w:space="0" w:color="F6680A" w:themeColor="accent3" w:themeTint="99"/>
        <w:bottom w:val="single" w:sz="2" w:space="0" w:color="F6680A" w:themeColor="accent3" w:themeTint="99"/>
        <w:insideH w:val="single" w:sz="2" w:space="0" w:color="F6680A" w:themeColor="accent3" w:themeTint="99"/>
        <w:insideV w:val="single" w:sz="2" w:space="0" w:color="F6680A" w:themeColor="accent3" w:themeTint="99"/>
      </w:tblBorders>
    </w:tblPr>
    <w:tblStylePr w:type="firstRow">
      <w:rPr>
        <w:b/>
        <w:bCs/>
      </w:rPr>
      <w:tblPr/>
      <w:tcPr>
        <w:tcBorders>
          <w:top w:val="nil"/>
          <w:bottom w:val="single" w:sz="12" w:space="0" w:color="F6680A" w:themeColor="accent3" w:themeTint="99"/>
          <w:insideH w:val="nil"/>
          <w:insideV w:val="nil"/>
        </w:tcBorders>
        <w:shd w:val="clear" w:color="auto" w:fill="FFFFFF" w:themeFill="background1"/>
      </w:tcPr>
    </w:tblStylePr>
    <w:tblStylePr w:type="lastRow">
      <w:rPr>
        <w:b/>
        <w:bCs/>
      </w:rPr>
      <w:tblPr/>
      <w:tcPr>
        <w:tcBorders>
          <w:top w:val="double" w:sz="2" w:space="0" w:color="F6680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CAD" w:themeFill="accent3" w:themeFillTint="33"/>
      </w:tcPr>
    </w:tblStylePr>
    <w:tblStylePr w:type="band1Horz">
      <w:tblPr/>
      <w:tcPr>
        <w:shd w:val="clear" w:color="auto" w:fill="FCCCAD" w:themeFill="accent3" w:themeFillTint="33"/>
      </w:tcPr>
    </w:tblStylePr>
  </w:style>
  <w:style w:type="character" w:styleId="UnresolvedMention">
    <w:name w:val="Unresolved Mention"/>
    <w:basedOn w:val="DefaultParagraphFont"/>
    <w:uiPriority w:val="99"/>
    <w:semiHidden/>
    <w:unhideWhenUsed/>
    <w:rsid w:val="00DA2736"/>
    <w:rPr>
      <w:color w:val="605E5C"/>
      <w:shd w:val="clear" w:color="auto" w:fill="E1DFDD"/>
    </w:rPr>
  </w:style>
  <w:style w:type="table" w:styleId="GridTable1Light-Accent3">
    <w:name w:val="Grid Table 1 Light Accent 3"/>
    <w:basedOn w:val="TableNormal"/>
    <w:uiPriority w:val="46"/>
    <w:rsid w:val="0045057E"/>
    <w:pPr>
      <w:spacing w:after="0" w:line="240" w:lineRule="auto"/>
    </w:pPr>
    <w:tblPr>
      <w:tblStyleRowBandSize w:val="1"/>
      <w:tblStyleColBandSize w:val="1"/>
      <w:tblBorders>
        <w:top w:val="single" w:sz="4" w:space="0" w:color="F99A5C" w:themeColor="accent3" w:themeTint="66"/>
        <w:left w:val="single" w:sz="4" w:space="0" w:color="F99A5C" w:themeColor="accent3" w:themeTint="66"/>
        <w:bottom w:val="single" w:sz="4" w:space="0" w:color="F99A5C" w:themeColor="accent3" w:themeTint="66"/>
        <w:right w:val="single" w:sz="4" w:space="0" w:color="F99A5C" w:themeColor="accent3" w:themeTint="66"/>
        <w:insideH w:val="single" w:sz="4" w:space="0" w:color="F99A5C" w:themeColor="accent3" w:themeTint="66"/>
        <w:insideV w:val="single" w:sz="4" w:space="0" w:color="F99A5C" w:themeColor="accent3" w:themeTint="66"/>
      </w:tblBorders>
    </w:tblPr>
    <w:tblStylePr w:type="firstRow">
      <w:rPr>
        <w:b/>
        <w:bCs/>
      </w:rPr>
      <w:tblPr/>
      <w:tcPr>
        <w:tcBorders>
          <w:bottom w:val="single" w:sz="12" w:space="0" w:color="F6680A" w:themeColor="accent3" w:themeTint="99"/>
        </w:tcBorders>
      </w:tcPr>
    </w:tblStylePr>
    <w:tblStylePr w:type="lastRow">
      <w:rPr>
        <w:b/>
        <w:bCs/>
      </w:rPr>
      <w:tblPr/>
      <w:tcPr>
        <w:tcBorders>
          <w:top w:val="double" w:sz="2" w:space="0" w:color="F6680A" w:themeColor="accent3"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4057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3E3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3E3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3E3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3E39" w:themeFill="accent2"/>
      </w:tcPr>
    </w:tblStylePr>
    <w:tblStylePr w:type="band1Vert">
      <w:tblPr/>
      <w:tcPr>
        <w:shd w:val="clear" w:color="auto" w:fill="8EC8BF" w:themeFill="accent2" w:themeFillTint="66"/>
      </w:tcPr>
    </w:tblStylePr>
    <w:tblStylePr w:type="band1Horz">
      <w:tblPr/>
      <w:tcPr>
        <w:shd w:val="clear" w:color="auto" w:fill="8EC8BF" w:themeFill="accent2" w:themeFillTint="66"/>
      </w:tcPr>
    </w:tblStylePr>
  </w:style>
  <w:style w:type="paragraph" w:styleId="FootnoteText">
    <w:name w:val="footnote text"/>
    <w:basedOn w:val="Normal"/>
    <w:link w:val="FootnoteTextChar"/>
    <w:uiPriority w:val="99"/>
    <w:unhideWhenUsed/>
    <w:rsid w:val="00583299"/>
    <w:pPr>
      <w:spacing w:after="0" w:line="240" w:lineRule="auto"/>
    </w:pPr>
    <w:rPr>
      <w:sz w:val="20"/>
      <w:szCs w:val="20"/>
    </w:rPr>
  </w:style>
  <w:style w:type="character" w:customStyle="1" w:styleId="FootnoteTextChar">
    <w:name w:val="Footnote Text Char"/>
    <w:basedOn w:val="DefaultParagraphFont"/>
    <w:link w:val="FootnoteText"/>
    <w:uiPriority w:val="99"/>
    <w:rsid w:val="00583299"/>
    <w:rPr>
      <w:sz w:val="20"/>
      <w:szCs w:val="20"/>
    </w:rPr>
  </w:style>
  <w:style w:type="paragraph" w:customStyle="1" w:styleId="Bulletpoints">
    <w:name w:val="Bullet points"/>
    <w:basedOn w:val="ListParagraph"/>
    <w:link w:val="BulletpointsChar"/>
    <w:qFormat/>
    <w:rsid w:val="000613B2"/>
    <w:pPr>
      <w:numPr>
        <w:numId w:val="26"/>
      </w:numPr>
      <w:contextualSpacing w:val="0"/>
    </w:pPr>
  </w:style>
  <w:style w:type="paragraph" w:customStyle="1" w:styleId="Designation">
    <w:name w:val="Designation"/>
    <w:basedOn w:val="Footer"/>
    <w:link w:val="DesignationChar"/>
    <w:qFormat/>
    <w:rsid w:val="000613B2"/>
    <w:pPr>
      <w:jc w:val="center"/>
    </w:pPr>
    <w:rPr>
      <w:b/>
      <w:bCs/>
      <w:caps/>
      <w:noProof/>
      <w:color w:val="FF0000"/>
      <w:sz w:val="28"/>
      <w:szCs w:val="28"/>
      <w:lang w:eastAsia="en-AU"/>
    </w:rPr>
  </w:style>
  <w:style w:type="character" w:customStyle="1" w:styleId="ListParagraphChar">
    <w:name w:val="List Paragraph Char"/>
    <w:basedOn w:val="DefaultParagraphFont"/>
    <w:link w:val="ListParagraph"/>
    <w:uiPriority w:val="34"/>
    <w:rsid w:val="000613B2"/>
  </w:style>
  <w:style w:type="character" w:customStyle="1" w:styleId="BulletpointsChar">
    <w:name w:val="Bullet points Char"/>
    <w:basedOn w:val="ListParagraphChar"/>
    <w:link w:val="Bulletpoints"/>
    <w:rsid w:val="000613B2"/>
  </w:style>
  <w:style w:type="character" w:styleId="SubtleEmphasis">
    <w:name w:val="Subtle Emphasis"/>
    <w:basedOn w:val="DefaultParagraphFont"/>
    <w:uiPriority w:val="19"/>
    <w:qFormat/>
    <w:rsid w:val="000613B2"/>
    <w:rPr>
      <w:i/>
      <w:iCs/>
      <w:color w:val="404040" w:themeColor="text1" w:themeTint="BF"/>
    </w:rPr>
  </w:style>
  <w:style w:type="character" w:customStyle="1" w:styleId="DesignationChar">
    <w:name w:val="Designation Char"/>
    <w:basedOn w:val="FooterChar"/>
    <w:link w:val="Designation"/>
    <w:rsid w:val="000613B2"/>
    <w:rPr>
      <w:b/>
      <w:bCs/>
      <w:caps/>
      <w:noProof/>
      <w:color w:val="FF0000"/>
      <w:sz w:val="28"/>
      <w:szCs w:val="28"/>
      <w:lang w:eastAsia="en-AU"/>
    </w:rPr>
  </w:style>
  <w:style w:type="paragraph" w:customStyle="1" w:styleId="TableSpacing">
    <w:name w:val="Table Spacing"/>
    <w:basedOn w:val="NoSpacing"/>
    <w:link w:val="TableSpacingChar"/>
    <w:qFormat/>
    <w:rsid w:val="000613B2"/>
    <w:pPr>
      <w:spacing w:after="80"/>
    </w:pPr>
    <w:rPr>
      <w:lang w:eastAsia="en-AU"/>
    </w:rPr>
  </w:style>
  <w:style w:type="character" w:customStyle="1" w:styleId="TableSpacingChar">
    <w:name w:val="Table Spacing Char"/>
    <w:basedOn w:val="NoSpacingChar"/>
    <w:link w:val="TableSpacing"/>
    <w:rsid w:val="000613B2"/>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713">
      <w:bodyDiv w:val="1"/>
      <w:marLeft w:val="0"/>
      <w:marRight w:val="0"/>
      <w:marTop w:val="0"/>
      <w:marBottom w:val="0"/>
      <w:divBdr>
        <w:top w:val="none" w:sz="0" w:space="0" w:color="auto"/>
        <w:left w:val="none" w:sz="0" w:space="0" w:color="auto"/>
        <w:bottom w:val="none" w:sz="0" w:space="0" w:color="auto"/>
        <w:right w:val="none" w:sz="0" w:space="0" w:color="auto"/>
      </w:divBdr>
    </w:div>
    <w:div w:id="85349552">
      <w:bodyDiv w:val="1"/>
      <w:marLeft w:val="0"/>
      <w:marRight w:val="0"/>
      <w:marTop w:val="0"/>
      <w:marBottom w:val="0"/>
      <w:divBdr>
        <w:top w:val="none" w:sz="0" w:space="0" w:color="auto"/>
        <w:left w:val="none" w:sz="0" w:space="0" w:color="auto"/>
        <w:bottom w:val="none" w:sz="0" w:space="0" w:color="auto"/>
        <w:right w:val="none" w:sz="0" w:space="0" w:color="auto"/>
      </w:divBdr>
    </w:div>
    <w:div w:id="94517674">
      <w:bodyDiv w:val="1"/>
      <w:marLeft w:val="0"/>
      <w:marRight w:val="0"/>
      <w:marTop w:val="0"/>
      <w:marBottom w:val="0"/>
      <w:divBdr>
        <w:top w:val="none" w:sz="0" w:space="0" w:color="auto"/>
        <w:left w:val="none" w:sz="0" w:space="0" w:color="auto"/>
        <w:bottom w:val="none" w:sz="0" w:space="0" w:color="auto"/>
        <w:right w:val="none" w:sz="0" w:space="0" w:color="auto"/>
      </w:divBdr>
    </w:div>
    <w:div w:id="226915556">
      <w:bodyDiv w:val="1"/>
      <w:marLeft w:val="0"/>
      <w:marRight w:val="0"/>
      <w:marTop w:val="0"/>
      <w:marBottom w:val="0"/>
      <w:divBdr>
        <w:top w:val="none" w:sz="0" w:space="0" w:color="auto"/>
        <w:left w:val="none" w:sz="0" w:space="0" w:color="auto"/>
        <w:bottom w:val="none" w:sz="0" w:space="0" w:color="auto"/>
        <w:right w:val="none" w:sz="0" w:space="0" w:color="auto"/>
      </w:divBdr>
    </w:div>
    <w:div w:id="228420372">
      <w:bodyDiv w:val="1"/>
      <w:marLeft w:val="0"/>
      <w:marRight w:val="0"/>
      <w:marTop w:val="0"/>
      <w:marBottom w:val="0"/>
      <w:divBdr>
        <w:top w:val="none" w:sz="0" w:space="0" w:color="auto"/>
        <w:left w:val="none" w:sz="0" w:space="0" w:color="auto"/>
        <w:bottom w:val="none" w:sz="0" w:space="0" w:color="auto"/>
        <w:right w:val="none" w:sz="0" w:space="0" w:color="auto"/>
      </w:divBdr>
    </w:div>
    <w:div w:id="280232520">
      <w:bodyDiv w:val="1"/>
      <w:marLeft w:val="0"/>
      <w:marRight w:val="0"/>
      <w:marTop w:val="0"/>
      <w:marBottom w:val="0"/>
      <w:divBdr>
        <w:top w:val="none" w:sz="0" w:space="0" w:color="auto"/>
        <w:left w:val="none" w:sz="0" w:space="0" w:color="auto"/>
        <w:bottom w:val="none" w:sz="0" w:space="0" w:color="auto"/>
        <w:right w:val="none" w:sz="0" w:space="0" w:color="auto"/>
      </w:divBdr>
    </w:div>
    <w:div w:id="391391017">
      <w:bodyDiv w:val="1"/>
      <w:marLeft w:val="0"/>
      <w:marRight w:val="0"/>
      <w:marTop w:val="0"/>
      <w:marBottom w:val="0"/>
      <w:divBdr>
        <w:top w:val="none" w:sz="0" w:space="0" w:color="auto"/>
        <w:left w:val="none" w:sz="0" w:space="0" w:color="auto"/>
        <w:bottom w:val="none" w:sz="0" w:space="0" w:color="auto"/>
        <w:right w:val="none" w:sz="0" w:space="0" w:color="auto"/>
      </w:divBdr>
    </w:div>
    <w:div w:id="411006159">
      <w:bodyDiv w:val="1"/>
      <w:marLeft w:val="0"/>
      <w:marRight w:val="0"/>
      <w:marTop w:val="0"/>
      <w:marBottom w:val="0"/>
      <w:divBdr>
        <w:top w:val="none" w:sz="0" w:space="0" w:color="auto"/>
        <w:left w:val="none" w:sz="0" w:space="0" w:color="auto"/>
        <w:bottom w:val="none" w:sz="0" w:space="0" w:color="auto"/>
        <w:right w:val="none" w:sz="0" w:space="0" w:color="auto"/>
      </w:divBdr>
    </w:div>
    <w:div w:id="503473356">
      <w:bodyDiv w:val="1"/>
      <w:marLeft w:val="0"/>
      <w:marRight w:val="0"/>
      <w:marTop w:val="0"/>
      <w:marBottom w:val="0"/>
      <w:divBdr>
        <w:top w:val="none" w:sz="0" w:space="0" w:color="auto"/>
        <w:left w:val="none" w:sz="0" w:space="0" w:color="auto"/>
        <w:bottom w:val="none" w:sz="0" w:space="0" w:color="auto"/>
        <w:right w:val="none" w:sz="0" w:space="0" w:color="auto"/>
      </w:divBdr>
    </w:div>
    <w:div w:id="820001765">
      <w:bodyDiv w:val="1"/>
      <w:marLeft w:val="0"/>
      <w:marRight w:val="0"/>
      <w:marTop w:val="0"/>
      <w:marBottom w:val="0"/>
      <w:divBdr>
        <w:top w:val="none" w:sz="0" w:space="0" w:color="auto"/>
        <w:left w:val="none" w:sz="0" w:space="0" w:color="auto"/>
        <w:bottom w:val="none" w:sz="0" w:space="0" w:color="auto"/>
        <w:right w:val="none" w:sz="0" w:space="0" w:color="auto"/>
      </w:divBdr>
    </w:div>
    <w:div w:id="929241324">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8003402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87866883">
      <w:bodyDiv w:val="1"/>
      <w:marLeft w:val="0"/>
      <w:marRight w:val="0"/>
      <w:marTop w:val="0"/>
      <w:marBottom w:val="0"/>
      <w:divBdr>
        <w:top w:val="none" w:sz="0" w:space="0" w:color="auto"/>
        <w:left w:val="none" w:sz="0" w:space="0" w:color="auto"/>
        <w:bottom w:val="none" w:sz="0" w:space="0" w:color="auto"/>
        <w:right w:val="none" w:sz="0" w:space="0" w:color="auto"/>
      </w:divBdr>
    </w:div>
    <w:div w:id="1278951794">
      <w:bodyDiv w:val="1"/>
      <w:marLeft w:val="0"/>
      <w:marRight w:val="0"/>
      <w:marTop w:val="0"/>
      <w:marBottom w:val="0"/>
      <w:divBdr>
        <w:top w:val="none" w:sz="0" w:space="0" w:color="auto"/>
        <w:left w:val="none" w:sz="0" w:space="0" w:color="auto"/>
        <w:bottom w:val="none" w:sz="0" w:space="0" w:color="auto"/>
        <w:right w:val="none" w:sz="0" w:space="0" w:color="auto"/>
      </w:divBdr>
    </w:div>
    <w:div w:id="1297567772">
      <w:bodyDiv w:val="1"/>
      <w:marLeft w:val="0"/>
      <w:marRight w:val="0"/>
      <w:marTop w:val="0"/>
      <w:marBottom w:val="0"/>
      <w:divBdr>
        <w:top w:val="none" w:sz="0" w:space="0" w:color="auto"/>
        <w:left w:val="none" w:sz="0" w:space="0" w:color="auto"/>
        <w:bottom w:val="none" w:sz="0" w:space="0" w:color="auto"/>
        <w:right w:val="none" w:sz="0" w:space="0" w:color="auto"/>
      </w:divBdr>
    </w:div>
    <w:div w:id="1491749824">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796634222">
      <w:bodyDiv w:val="1"/>
      <w:marLeft w:val="0"/>
      <w:marRight w:val="0"/>
      <w:marTop w:val="0"/>
      <w:marBottom w:val="0"/>
      <w:divBdr>
        <w:top w:val="none" w:sz="0" w:space="0" w:color="auto"/>
        <w:left w:val="none" w:sz="0" w:space="0" w:color="auto"/>
        <w:bottom w:val="none" w:sz="0" w:space="0" w:color="auto"/>
        <w:right w:val="none" w:sz="0" w:space="0" w:color="auto"/>
      </w:divBdr>
    </w:div>
    <w:div w:id="1909920570">
      <w:bodyDiv w:val="1"/>
      <w:marLeft w:val="0"/>
      <w:marRight w:val="0"/>
      <w:marTop w:val="0"/>
      <w:marBottom w:val="0"/>
      <w:divBdr>
        <w:top w:val="none" w:sz="0" w:space="0" w:color="auto"/>
        <w:left w:val="none" w:sz="0" w:space="0" w:color="auto"/>
        <w:bottom w:val="none" w:sz="0" w:space="0" w:color="auto"/>
        <w:right w:val="none" w:sz="0" w:space="0" w:color="auto"/>
      </w:divBdr>
    </w:div>
    <w:div w:id="1969235609">
      <w:bodyDiv w:val="1"/>
      <w:marLeft w:val="0"/>
      <w:marRight w:val="0"/>
      <w:marTop w:val="0"/>
      <w:marBottom w:val="0"/>
      <w:divBdr>
        <w:top w:val="none" w:sz="0" w:space="0" w:color="auto"/>
        <w:left w:val="none" w:sz="0" w:space="0" w:color="auto"/>
        <w:bottom w:val="none" w:sz="0" w:space="0" w:color="auto"/>
        <w:right w:val="none" w:sz="0" w:space="0" w:color="auto"/>
      </w:divBdr>
    </w:div>
    <w:div w:id="1995067008">
      <w:bodyDiv w:val="1"/>
      <w:marLeft w:val="0"/>
      <w:marRight w:val="0"/>
      <w:marTop w:val="0"/>
      <w:marBottom w:val="0"/>
      <w:divBdr>
        <w:top w:val="none" w:sz="0" w:space="0" w:color="auto"/>
        <w:left w:val="none" w:sz="0" w:space="0" w:color="auto"/>
        <w:bottom w:val="none" w:sz="0" w:space="0" w:color="auto"/>
        <w:right w:val="none" w:sz="0" w:space="0" w:color="auto"/>
      </w:divBdr>
    </w:div>
    <w:div w:id="2015373499">
      <w:bodyDiv w:val="1"/>
      <w:marLeft w:val="0"/>
      <w:marRight w:val="0"/>
      <w:marTop w:val="0"/>
      <w:marBottom w:val="0"/>
      <w:divBdr>
        <w:top w:val="none" w:sz="0" w:space="0" w:color="auto"/>
        <w:left w:val="none" w:sz="0" w:space="0" w:color="auto"/>
        <w:bottom w:val="none" w:sz="0" w:space="0" w:color="auto"/>
        <w:right w:val="none" w:sz="0" w:space="0" w:color="auto"/>
      </w:divBdr>
    </w:div>
    <w:div w:id="2024898272">
      <w:bodyDiv w:val="1"/>
      <w:marLeft w:val="0"/>
      <w:marRight w:val="0"/>
      <w:marTop w:val="0"/>
      <w:marBottom w:val="0"/>
      <w:divBdr>
        <w:top w:val="none" w:sz="0" w:space="0" w:color="auto"/>
        <w:left w:val="none" w:sz="0" w:space="0" w:color="auto"/>
        <w:bottom w:val="none" w:sz="0" w:space="0" w:color="auto"/>
        <w:right w:val="none" w:sz="0" w:space="0" w:color="auto"/>
      </w:divBdr>
    </w:div>
    <w:div w:id="2090687199">
      <w:bodyDiv w:val="1"/>
      <w:marLeft w:val="0"/>
      <w:marRight w:val="0"/>
      <w:marTop w:val="0"/>
      <w:marBottom w:val="0"/>
      <w:divBdr>
        <w:top w:val="none" w:sz="0" w:space="0" w:color="auto"/>
        <w:left w:val="none" w:sz="0" w:space="0" w:color="auto"/>
        <w:bottom w:val="none" w:sz="0" w:space="0" w:color="auto"/>
        <w:right w:val="none" w:sz="0" w:space="0" w:color="auto"/>
      </w:divBdr>
    </w:div>
    <w:div w:id="2123188979">
      <w:bodyDiv w:val="1"/>
      <w:marLeft w:val="0"/>
      <w:marRight w:val="0"/>
      <w:marTop w:val="0"/>
      <w:marBottom w:val="0"/>
      <w:divBdr>
        <w:top w:val="none" w:sz="0" w:space="0" w:color="auto"/>
        <w:left w:val="none" w:sz="0" w:space="0" w:color="auto"/>
        <w:bottom w:val="none" w:sz="0" w:space="0" w:color="auto"/>
        <w:right w:val="none" w:sz="0" w:space="0" w:color="auto"/>
      </w:divBdr>
    </w:div>
    <w:div w:id="2134978416">
      <w:bodyDiv w:val="1"/>
      <w:marLeft w:val="0"/>
      <w:marRight w:val="0"/>
      <w:marTop w:val="0"/>
      <w:marBottom w:val="0"/>
      <w:divBdr>
        <w:top w:val="none" w:sz="0" w:space="0" w:color="auto"/>
        <w:left w:val="none" w:sz="0" w:space="0" w:color="auto"/>
        <w:bottom w:val="none" w:sz="0" w:space="0" w:color="auto"/>
        <w:right w:val="none" w:sz="0" w:space="0" w:color="auto"/>
      </w:divBdr>
    </w:div>
    <w:div w:id="214180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oter" Target="footer4.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xportWaste@awe.gov.au" TargetMode="Externa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eader" Target="header1.xml"/><Relationship Id="rId25" Type="http://schemas.openxmlformats.org/officeDocument/2006/relationships/hyperlink" Target="mailto:ExportWaste@aw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xportWaste@aw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xportWaste@awe.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inance.gov.au/government/managing-commonwealth-resources/managing-money-property/managing-money/australian-government-charging-framewor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haveyoursay.agriculture.gov.au/waste-export-cost-recovery-consul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finance.gov.au/government/managing-commonwealth-resources/managing-money-property/managing-money/australian-government-charging-framework" TargetMode="Externa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0209\Downloads\DCCEEW-Report-white-cover.dotx"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083A42"/>
      </a:dk2>
      <a:lt2>
        <a:srgbClr val="E7E6E6"/>
      </a:lt2>
      <a:accent1>
        <a:srgbClr val="192F49"/>
      </a:accent1>
      <a:accent2>
        <a:srgbClr val="1E3E39"/>
      </a:accent2>
      <a:accent3>
        <a:srgbClr val="562403"/>
      </a:accent3>
      <a:accent4>
        <a:srgbClr val="2E2B2B"/>
      </a:accent4>
      <a:accent5>
        <a:srgbClr val="000000"/>
      </a:accent5>
      <a:accent6>
        <a:srgbClr val="FFFFFF"/>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B804ACBF6395A469A2CF1E1CC101B7A" ma:contentTypeVersion="" ma:contentTypeDescription="PDMS Document Site Content Type" ma:contentTypeScope="" ma:versionID="39716d9be442a5ac51a46d577f4cae7d">
  <xsd:schema xmlns:xsd="http://www.w3.org/2001/XMLSchema" xmlns:xs="http://www.w3.org/2001/XMLSchema" xmlns:p="http://schemas.microsoft.com/office/2006/metadata/properties" xmlns:ns2="F16F7543-AED4-4BD6-BD87-B39569C5F35F" targetNamespace="http://schemas.microsoft.com/office/2006/metadata/properties" ma:root="true" ma:fieldsID="3d5cffe0f59a80a831df305e044cc6c9" ns2:_="">
    <xsd:import namespace="F16F7543-AED4-4BD6-BD87-B39569C5F35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7543-AED4-4BD6-BD87-B39569C5F35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16F7543-AED4-4BD6-BD87-B39569C5F35F" xsi:nil="true"/>
  </documentManagement>
</p:properties>
</file>

<file path=customXml/itemProps1.xml><?xml version="1.0" encoding="utf-8"?>
<ds:datastoreItem xmlns:ds="http://schemas.openxmlformats.org/officeDocument/2006/customXml" ds:itemID="{E7580497-82D9-49F2-A66B-952F1B08CA53}">
  <ds:schemaRefs>
    <ds:schemaRef ds:uri="http://schemas.openxmlformats.org/officeDocument/2006/bibliography"/>
  </ds:schemaRefs>
</ds:datastoreItem>
</file>

<file path=customXml/itemProps2.xml><?xml version="1.0" encoding="utf-8"?>
<ds:datastoreItem xmlns:ds="http://schemas.openxmlformats.org/officeDocument/2006/customXml" ds:itemID="{27F6786F-7020-430A-B980-4E0C4EC9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7543-AED4-4BD6-BD87-B39569C5F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19730-C81A-4783-93D0-38AEB02677CA}">
  <ds:schemaRefs>
    <ds:schemaRef ds:uri="http://schemas.microsoft.com/sharepoint/v3/contenttype/forms"/>
  </ds:schemaRefs>
</ds:datastoreItem>
</file>

<file path=customXml/itemProps4.xml><?xml version="1.0" encoding="utf-8"?>
<ds:datastoreItem xmlns:ds="http://schemas.openxmlformats.org/officeDocument/2006/customXml" ds:itemID="{53DA526A-19FA-42C3-959F-C35B1EF806EE}">
  <ds:schemaRefs>
    <ds:schemaRef ds:uri="http://schemas.microsoft.com/office/2006/metadata/properties"/>
    <ds:schemaRef ds:uri="http://schemas.microsoft.com/office/infopath/2007/PartnerControls"/>
    <ds:schemaRef ds:uri="F16F7543-AED4-4BD6-BD87-B39569C5F35F"/>
  </ds:schemaRefs>
</ds:datastoreItem>
</file>

<file path=docProps/app.xml><?xml version="1.0" encoding="utf-8"?>
<Properties xmlns="http://schemas.openxmlformats.org/officeDocument/2006/extended-properties" xmlns:vt="http://schemas.openxmlformats.org/officeDocument/2006/docPropsVTypes">
  <Template>DCCEEW-Report-white-cover</Template>
  <TotalTime>5</TotalTime>
  <Pages>21</Pages>
  <Words>6805</Words>
  <Characters>38789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Cost Recovery - Consultation Paper</vt:lpstr>
    </vt:vector>
  </TitlesOfParts>
  <Manager/>
  <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 Consultation Paper</dc:title>
  <dc:subject/>
  <dc:creator>Natalie Hanlon</dc:creator>
  <cp:keywords/>
  <dc:description/>
  <cp:lastModifiedBy>Garwood, Jason</cp:lastModifiedBy>
  <cp:revision>8</cp:revision>
  <cp:lastPrinted>2022-11-03T02:24:00Z</cp:lastPrinted>
  <dcterms:created xsi:type="dcterms:W3CDTF">2022-11-03T02:26:00Z</dcterms:created>
  <dcterms:modified xsi:type="dcterms:W3CDTF">2022-11-03T23:12:00Z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0x010100266966F133664895A6EE3632470D45F5003B804ACBF6395A469A2CF1E1CC101B7A</vt:lpwstr>
  </property>
  <property fmtid="{D5CDD505-2E9C-101B-9397-08002B2CF9AE}" pid="3" name="ic50445521414d498a9b9338b45e20b1">
    <vt:lpwstr/>
  </property>
  <property fmtid="{D5CDD505-2E9C-101B-9397-08002B2CF9AE}" pid="4" name="Topic">
    <vt:lpwstr/>
  </property>
  <property fmtid="{D5CDD505-2E9C-101B-9397-08002B2CF9AE}" pid="5" name="Document purpose">
    <vt:lpwstr>12;#Template|f86f6234-3071-4791-935f-8e58e6c783c5</vt:lpwstr>
  </property>
  <property fmtid="{D5CDD505-2E9C-101B-9397-08002B2CF9AE}" pid="6" name="TaxCatchAll">
    <vt:lpwstr>12;#Template|f86f6234-3071-4791-935f-8e58e6c783c5</vt:lpwstr>
  </property>
  <property fmtid="{D5CDD505-2E9C-101B-9397-08002B2CF9AE}" pid="7" name="f053d4d5642f4f398c12deee90f78c85">
    <vt:lpwstr>Template|f86f6234-3071-4791-935f-8e58e6c783c5</vt:lpwstr>
  </property>
  <property fmtid="{D5CDD505-2E9C-101B-9397-08002B2CF9AE}" pid="8" name="Maintained_x0020_by">
    <vt:lpwstr/>
  </property>
  <property fmtid="{D5CDD505-2E9C-101B-9397-08002B2CF9AE}" pid="9" name="ec8963811f66454d90035b41c545792f">
    <vt:lpwstr/>
  </property>
  <property fmtid="{D5CDD505-2E9C-101B-9397-08002B2CF9AE}" pid="10" name="Maintained by">
    <vt:lpwstr/>
  </property>
  <property fmtid="{D5CDD505-2E9C-101B-9397-08002B2CF9AE}" pid="11" name="RecordPoint_WorkflowType">
    <vt:lpwstr>ActiveSubmitStub</vt:lpwstr>
  </property>
  <property fmtid="{D5CDD505-2E9C-101B-9397-08002B2CF9AE}" pid="12" name="RecordPoint_ActiveItemSiteId">
    <vt:lpwstr>{04b19458-2747-495c-8cfe-63b20256e621}</vt:lpwstr>
  </property>
  <property fmtid="{D5CDD505-2E9C-101B-9397-08002B2CF9AE}" pid="13" name="RecordPoint_ActiveItemListId">
    <vt:lpwstr>{bd67adfb-92d2-4bd8-a733-0bce69e8b281}</vt:lpwstr>
  </property>
  <property fmtid="{D5CDD505-2E9C-101B-9397-08002B2CF9AE}" pid="14" name="RecordPoint_ActiveItemUniqueId">
    <vt:lpwstr>{036f8ad1-0149-4785-9353-6e581a150d55}</vt:lpwstr>
  </property>
  <property fmtid="{D5CDD505-2E9C-101B-9397-08002B2CF9AE}" pid="15" name="RecordPoint_ActiveItemWebId">
    <vt:lpwstr>{2d7b2cc1-18c0-44b7-af41-031aabc3e1e1}</vt:lpwstr>
  </property>
</Properties>
</file>